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37FA9" w:rsidRDefault="00000000" w:rsidP="005B21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cruzada del sujeto trascendental de la acumulación capitalista.  Resentimiento y crisis de lo humano en la ideología </w:t>
      </w:r>
      <w:proofErr w:type="spellStart"/>
      <w:r>
        <w:rPr>
          <w:rFonts w:ascii="Times New Roman" w:eastAsia="Times New Roman" w:hAnsi="Times New Roman" w:cs="Times New Roman"/>
          <w:b/>
          <w:sz w:val="24"/>
          <w:szCs w:val="24"/>
        </w:rPr>
        <w:t>mileísta</w:t>
      </w:r>
      <w:proofErr w:type="spellEnd"/>
    </w:p>
    <w:p w14:paraId="00000002" w14:textId="77777777" w:rsidR="00237FA9" w:rsidRDefault="00237FA9" w:rsidP="005B21BA">
      <w:pPr>
        <w:rPr>
          <w:rFonts w:ascii="Times New Roman" w:eastAsia="Times New Roman" w:hAnsi="Times New Roman" w:cs="Times New Roman"/>
          <w:b/>
          <w:sz w:val="24"/>
          <w:szCs w:val="24"/>
        </w:rPr>
      </w:pPr>
    </w:p>
    <w:p w14:paraId="00000003" w14:textId="77777777" w:rsidR="00237FA9" w:rsidRDefault="00000000" w:rsidP="005B21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Pablo de Nicola</w:t>
      </w:r>
    </w:p>
    <w:p w14:paraId="00000004" w14:textId="77777777" w:rsidR="00237FA9" w:rsidRDefault="00000000" w:rsidP="005B21B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Instituto de Investigaciones Gino Germani (Facultad de Ciencias Sociales, Universidad de Buenos Aires)/Consejo Nacional de Investigaciones Científicas y Técnicas</w:t>
      </w:r>
    </w:p>
    <w:p w14:paraId="00000005" w14:textId="77777777" w:rsidR="00237FA9" w:rsidRDefault="00000000" w:rsidP="005B21B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Argentina</w:t>
      </w:r>
    </w:p>
    <w:p w14:paraId="00000006" w14:textId="77777777" w:rsidR="00237FA9" w:rsidRDefault="00000000" w:rsidP="005B21B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jpdenicola@hotmail.com</w:t>
      </w:r>
    </w:p>
    <w:p w14:paraId="00000007" w14:textId="77777777" w:rsidR="00237FA9" w:rsidRDefault="00000000" w:rsidP="005B21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https://orcid.org/0000-0001-6835-1526</w:t>
      </w:r>
    </w:p>
    <w:p w14:paraId="00000008" w14:textId="77777777" w:rsidR="00237FA9" w:rsidRDefault="00000000">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9" w14:textId="77777777" w:rsidR="00237FA9" w:rsidRDefault="00000000">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Este artículo tiene por objeto analizar la crisis de lo humano presente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Para ello, intenta una crítica ideológica en tres pasos. En primer lugar, enmarca a esta ideología en una genealogía de largo alcance relativa al mecanismo ideológico del resentimiento, activado particularmente durante coyunturas de crisis del capital y que, en la actualidad, remite a las mutaciones del capitalismo digital y financiero. En segundo lugar, estudia las prácticas subjetivas e inconscientes presentes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en tanto reproduce un binarismo entre dos figuras no-humanas: un ideal de sujeto trascendental de la acumulación capitalista y la forclusión de sus impulsos internos que retorna como chivo expiatoria en la representación de la impureza de la casta. En tercer lugar, examina los efectos políticos derivados de la propia lógica interna de esta ideología, comprendidos como lazos comunitarios autodestructivos sostenidos en el principio de la guerra por la acumulación de todos contra todos. De este modo, el artículo pretende explorar el modo sintomático a través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la crisis de lo humano toma forma en la ideología dominante argentina, que reproduce la mercantilización y manipulación de lo humano y de la naturaleza en aras de la libre acumulación de capital.</w:t>
      </w:r>
    </w:p>
    <w:p w14:paraId="0000000A" w14:textId="77777777" w:rsidR="00237FA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resentimiento, crisis de lo humano, acumulación capitalista.</w:t>
      </w:r>
    </w:p>
    <w:p w14:paraId="0000000B" w14:textId="77777777" w:rsidR="00237FA9" w:rsidRDefault="00237FA9">
      <w:pPr>
        <w:jc w:val="center"/>
        <w:rPr>
          <w:rFonts w:ascii="Times New Roman" w:eastAsia="Times New Roman" w:hAnsi="Times New Roman" w:cs="Times New Roman"/>
          <w:b/>
          <w:sz w:val="24"/>
          <w:szCs w:val="24"/>
        </w:rPr>
      </w:pPr>
    </w:p>
    <w:p w14:paraId="0000000C" w14:textId="0063F6AB" w:rsidR="00237FA9" w:rsidRPr="005B21BA" w:rsidRDefault="00000000" w:rsidP="005B21BA">
      <w:pPr>
        <w:rPr>
          <w:rFonts w:ascii="Times New Roman" w:eastAsia="Times New Roman" w:hAnsi="Times New Roman" w:cs="Times New Roman"/>
          <w:b/>
          <w:sz w:val="24"/>
          <w:szCs w:val="24"/>
          <w:lang w:val="en-US"/>
        </w:rPr>
      </w:pPr>
      <w:r w:rsidRPr="005B21BA">
        <w:rPr>
          <w:rFonts w:ascii="Times New Roman" w:eastAsia="Times New Roman" w:hAnsi="Times New Roman" w:cs="Times New Roman"/>
          <w:b/>
          <w:sz w:val="24"/>
          <w:szCs w:val="24"/>
          <w:lang w:val="en-US"/>
        </w:rPr>
        <w:t xml:space="preserve">The Crusade of the Transcendental Subject of Capitalist Accumulation.  Ressentiment and Crisis of the Human in </w:t>
      </w:r>
      <w:proofErr w:type="spellStart"/>
      <w:r w:rsidRPr="005B21BA">
        <w:rPr>
          <w:rFonts w:ascii="Times New Roman" w:eastAsia="Times New Roman" w:hAnsi="Times New Roman" w:cs="Times New Roman"/>
          <w:b/>
          <w:sz w:val="24"/>
          <w:szCs w:val="24"/>
          <w:lang w:val="en-US"/>
        </w:rPr>
        <w:t>Mileist</w:t>
      </w:r>
      <w:proofErr w:type="spellEnd"/>
      <w:r w:rsidRPr="005B21BA">
        <w:rPr>
          <w:rFonts w:ascii="Times New Roman" w:eastAsia="Times New Roman" w:hAnsi="Times New Roman" w:cs="Times New Roman"/>
          <w:b/>
          <w:sz w:val="24"/>
          <w:szCs w:val="24"/>
          <w:lang w:val="en-US"/>
        </w:rPr>
        <w:t xml:space="preserve"> Ideology</w:t>
      </w:r>
    </w:p>
    <w:p w14:paraId="0000000D" w14:textId="77777777" w:rsidR="00237FA9" w:rsidRPr="005B21BA" w:rsidRDefault="00237FA9">
      <w:pPr>
        <w:jc w:val="both"/>
        <w:rPr>
          <w:rFonts w:ascii="Times New Roman" w:eastAsia="Times New Roman" w:hAnsi="Times New Roman" w:cs="Times New Roman"/>
          <w:sz w:val="24"/>
          <w:szCs w:val="24"/>
          <w:lang w:val="en-US"/>
        </w:rPr>
      </w:pPr>
    </w:p>
    <w:p w14:paraId="0000000E" w14:textId="77777777" w:rsidR="00237FA9" w:rsidRPr="005B21BA" w:rsidRDefault="00000000">
      <w:pPr>
        <w:spacing w:after="200"/>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b/>
          <w:sz w:val="24"/>
          <w:szCs w:val="24"/>
          <w:lang w:val="en-US"/>
        </w:rPr>
        <w:t>Abstract</w:t>
      </w:r>
    </w:p>
    <w:p w14:paraId="0000000F" w14:textId="77777777" w:rsidR="00237FA9" w:rsidRPr="005B21BA" w:rsidRDefault="00000000">
      <w:pPr>
        <w:spacing w:after="200"/>
        <w:jc w:val="both"/>
        <w:rPr>
          <w:rFonts w:ascii="Times New Roman" w:eastAsia="Times New Roman" w:hAnsi="Times New Roman" w:cs="Times New Roman"/>
          <w:b/>
          <w:sz w:val="24"/>
          <w:szCs w:val="24"/>
          <w:lang w:val="en-US"/>
        </w:rPr>
      </w:pPr>
      <w:r w:rsidRPr="005B21BA">
        <w:rPr>
          <w:rFonts w:ascii="Times New Roman" w:eastAsia="Times New Roman" w:hAnsi="Times New Roman" w:cs="Times New Roman"/>
          <w:sz w:val="24"/>
          <w:szCs w:val="24"/>
          <w:lang w:val="en-US"/>
        </w:rPr>
        <w:t xml:space="preserve">The aim of this article is to </w:t>
      </w:r>
      <w:proofErr w:type="spellStart"/>
      <w:r w:rsidRPr="005B21BA">
        <w:rPr>
          <w:rFonts w:ascii="Times New Roman" w:eastAsia="Times New Roman" w:hAnsi="Times New Roman" w:cs="Times New Roman"/>
          <w:sz w:val="24"/>
          <w:szCs w:val="24"/>
          <w:lang w:val="en-US"/>
        </w:rPr>
        <w:t>analyse</w:t>
      </w:r>
      <w:proofErr w:type="spellEnd"/>
      <w:r w:rsidRPr="005B21BA">
        <w:rPr>
          <w:rFonts w:ascii="Times New Roman" w:eastAsia="Times New Roman" w:hAnsi="Times New Roman" w:cs="Times New Roman"/>
          <w:sz w:val="24"/>
          <w:szCs w:val="24"/>
          <w:lang w:val="en-US"/>
        </w:rPr>
        <w:t xml:space="preserve"> the crisis of the human within </w:t>
      </w:r>
      <w:proofErr w:type="spellStart"/>
      <w:r w:rsidRPr="005B21BA">
        <w:rPr>
          <w:rFonts w:ascii="Times New Roman" w:eastAsia="Times New Roman" w:hAnsi="Times New Roman" w:cs="Times New Roman"/>
          <w:sz w:val="24"/>
          <w:szCs w:val="24"/>
          <w:lang w:val="en-US"/>
        </w:rPr>
        <w:t>mileist</w:t>
      </w:r>
      <w:proofErr w:type="spellEnd"/>
      <w:r w:rsidRPr="005B21BA">
        <w:rPr>
          <w:rFonts w:ascii="Times New Roman" w:eastAsia="Times New Roman" w:hAnsi="Times New Roman" w:cs="Times New Roman"/>
          <w:sz w:val="24"/>
          <w:szCs w:val="24"/>
          <w:lang w:val="en-US"/>
        </w:rPr>
        <w:t xml:space="preserve"> ideology. To do so, it attempts a critique of ideology in three steps. First of all, it frames this ideology in a far-reaching genealogy related to the ideological mechanism of ressentiment, which is particularly triggered at times of crisis of the capital and which, at the moment, refers to </w:t>
      </w:r>
      <w:r w:rsidRPr="005B21BA">
        <w:rPr>
          <w:rFonts w:ascii="Times New Roman" w:eastAsia="Times New Roman" w:hAnsi="Times New Roman" w:cs="Times New Roman"/>
          <w:sz w:val="24"/>
          <w:szCs w:val="24"/>
          <w:lang w:val="en-US"/>
        </w:rPr>
        <w:lastRenderedPageBreak/>
        <w:t xml:space="preserve">the mutations of digital and financial capitalism. Second, it addresses the subjective and unconscious practices present in </w:t>
      </w:r>
      <w:proofErr w:type="spellStart"/>
      <w:r w:rsidRPr="005B21BA">
        <w:rPr>
          <w:rFonts w:ascii="Times New Roman" w:eastAsia="Times New Roman" w:hAnsi="Times New Roman" w:cs="Times New Roman"/>
          <w:sz w:val="24"/>
          <w:szCs w:val="24"/>
          <w:lang w:val="en-US"/>
        </w:rPr>
        <w:t>mileist</w:t>
      </w:r>
      <w:proofErr w:type="spellEnd"/>
      <w:r w:rsidRPr="005B21BA">
        <w:rPr>
          <w:rFonts w:ascii="Times New Roman" w:eastAsia="Times New Roman" w:hAnsi="Times New Roman" w:cs="Times New Roman"/>
          <w:sz w:val="24"/>
          <w:szCs w:val="24"/>
          <w:lang w:val="en-US"/>
        </w:rPr>
        <w:t xml:space="preserve"> ideology, as it reproduces a binarism between two non-human figures: an ideal transcendental subject of capitalist accumulation and the </w:t>
      </w:r>
      <w:proofErr w:type="spellStart"/>
      <w:r w:rsidRPr="005B21BA">
        <w:rPr>
          <w:rFonts w:ascii="Times New Roman" w:eastAsia="Times New Roman" w:hAnsi="Times New Roman" w:cs="Times New Roman"/>
          <w:sz w:val="24"/>
          <w:szCs w:val="24"/>
          <w:lang w:val="en-US"/>
        </w:rPr>
        <w:t>forclusion</w:t>
      </w:r>
      <w:proofErr w:type="spellEnd"/>
      <w:r w:rsidRPr="005B21BA">
        <w:rPr>
          <w:rFonts w:ascii="Times New Roman" w:eastAsia="Times New Roman" w:hAnsi="Times New Roman" w:cs="Times New Roman"/>
          <w:sz w:val="24"/>
          <w:szCs w:val="24"/>
          <w:lang w:val="en-US"/>
        </w:rPr>
        <w:t xml:space="preserve"> of its inner drives that returns as a scapegoat in the representation of the impurity of caste. Thirdly, it examines the political effects derived from the very internal logic of this ideology, understood as self-destructive communal bonds sustained on the principle of the war of accumulation of all against all. In doing so, the article seeks to explore the symptomatic way in which the crisis of the human takes shape in the dominant ideology, which reproduces the commodification and manipulation of the human and of nature for the sake of the free accumulation of capital.</w:t>
      </w:r>
    </w:p>
    <w:p w14:paraId="00000010" w14:textId="77777777" w:rsidR="00237FA9" w:rsidRPr="005B21BA" w:rsidRDefault="00000000">
      <w:pPr>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b/>
          <w:sz w:val="24"/>
          <w:szCs w:val="24"/>
          <w:lang w:val="en-US"/>
        </w:rPr>
        <w:t xml:space="preserve">Keywords: </w:t>
      </w:r>
      <w:proofErr w:type="spellStart"/>
      <w:r w:rsidRPr="005B21BA">
        <w:rPr>
          <w:rFonts w:ascii="Times New Roman" w:eastAsia="Times New Roman" w:hAnsi="Times New Roman" w:cs="Times New Roman"/>
          <w:sz w:val="24"/>
          <w:szCs w:val="24"/>
          <w:lang w:val="en-US"/>
        </w:rPr>
        <w:t>Mileist</w:t>
      </w:r>
      <w:proofErr w:type="spellEnd"/>
      <w:r w:rsidRPr="005B21BA">
        <w:rPr>
          <w:rFonts w:ascii="Times New Roman" w:eastAsia="Times New Roman" w:hAnsi="Times New Roman" w:cs="Times New Roman"/>
          <w:sz w:val="24"/>
          <w:szCs w:val="24"/>
          <w:lang w:val="en-US"/>
        </w:rPr>
        <w:t xml:space="preserve"> Ideology, Ressentiment, Human Crisis, Capitalist Accumulation.</w:t>
      </w:r>
    </w:p>
    <w:p w14:paraId="00000011" w14:textId="77777777" w:rsidR="00237FA9" w:rsidRPr="005B21BA" w:rsidRDefault="00237FA9">
      <w:pPr>
        <w:rPr>
          <w:rFonts w:ascii="Times New Roman" w:eastAsia="Times New Roman" w:hAnsi="Times New Roman" w:cs="Times New Roman"/>
          <w:sz w:val="24"/>
          <w:szCs w:val="24"/>
          <w:lang w:val="en-US"/>
        </w:rPr>
      </w:pPr>
    </w:p>
    <w:p w14:paraId="00000012" w14:textId="77777777" w:rsidR="00237FA9"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13" w14:textId="77777777" w:rsidR="00237FA9" w:rsidRDefault="00237FA9">
      <w:pPr>
        <w:spacing w:line="240" w:lineRule="auto"/>
        <w:jc w:val="both"/>
        <w:rPr>
          <w:rFonts w:ascii="Times New Roman" w:eastAsia="Times New Roman" w:hAnsi="Times New Roman" w:cs="Times New Roman"/>
          <w:sz w:val="24"/>
          <w:szCs w:val="24"/>
        </w:rPr>
      </w:pPr>
    </w:p>
    <w:p w14:paraId="00000014"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crisis de lo humano se extiende de modo generalizado a todos los rincones del planeta. En su último libro, </w:t>
      </w:r>
      <w:r>
        <w:rPr>
          <w:rFonts w:ascii="Times New Roman" w:eastAsia="Times New Roman" w:hAnsi="Times New Roman" w:cs="Times New Roman"/>
          <w:i/>
          <w:sz w:val="24"/>
          <w:szCs w:val="24"/>
        </w:rPr>
        <w:t>Humanismo, impugnación y resistencia</w:t>
      </w:r>
      <w:r>
        <w:rPr>
          <w:rFonts w:ascii="Times New Roman" w:eastAsia="Times New Roman" w:hAnsi="Times New Roman" w:cs="Times New Roman"/>
          <w:sz w:val="24"/>
          <w:szCs w:val="24"/>
        </w:rPr>
        <w:t xml:space="preserve">, Horacio González considera los peligros que padece la humanidad en los albores del siglo XXI. La mercantilización de la vida está llegando a límites antes impensados. La naturaleza y los humanos devienen cada vez más manipulables en la experimentación que la técnica exige para su avance. Los sujetos se ven inmersos en la experimentación en detrimento de una experiencia genuina, cuyas condiciones se encuentran crecientemente erosionadas. Argentina no está exenta de este proceso. Prueba contemporánea de ello es la postulación y reproducción de dos figuras enfrentadas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ambas excluidas del ámbito de lo humano. </w:t>
      </w:r>
    </w:p>
    <w:p w14:paraId="00000015"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artículo pretende analizar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enmarcada en el mecanismo ideológico del resentimiento como específico de las coyunturas de crisis del capital y analizar, a partir de allí, su lógica antinómica interna como un síntoma de la crisis de lo humano. La reproducción de una ideología dominante que advierte una contraposición entre un sujeto trascendental cuyo deber es acumular capital y la encarnación de las deformaciones que entorpecen la realización del ideal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aparece como un problema político que va más allá de una cuestión electoral o partidaria. Su noción de comunidad acompaña esta misma cuestión, en tanto genera un lazo autodestructivo, cercano al principio de una libertad absoluta que parece no derivar en otra cosa que en un estado de guerra de todos contra todos en el afán de la acumulación.</w:t>
      </w:r>
    </w:p>
    <w:p w14:paraId="00000016"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fines de emprender este análisis, recuperamos las precauciones metodológicas de la crítica ideológica (Catanzaro e Ipar, 2016). Este artículo busca desentrañar la lógica operante </w:t>
      </w:r>
      <w:r>
        <w:rPr>
          <w:rFonts w:ascii="Times New Roman" w:eastAsia="Times New Roman" w:hAnsi="Times New Roman" w:cs="Times New Roman"/>
          <w:i/>
          <w:sz w:val="24"/>
          <w:szCs w:val="24"/>
        </w:rPr>
        <w:t xml:space="preserve">en </w:t>
      </w:r>
      <w:r>
        <w:rPr>
          <w:rFonts w:ascii="Times New Roman" w:eastAsia="Times New Roman" w:hAnsi="Times New Roman" w:cs="Times New Roman"/>
          <w:sz w:val="24"/>
          <w:szCs w:val="24"/>
        </w:rPr>
        <w:t xml:space="preserve">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concretamente en el plano afectivo e inconsciente. Ello supone no darle credibilidad total al discurso per se de figuras como Javier Milei o sus seguidores, ni reflexionar sobre una verdad que yacería más allá de él. Por el contrario, nos interesa examinar las prácticas </w:t>
      </w:r>
      <w:r>
        <w:rPr>
          <w:rFonts w:ascii="Times New Roman" w:eastAsia="Times New Roman" w:hAnsi="Times New Roman" w:cs="Times New Roman"/>
          <w:i/>
          <w:sz w:val="24"/>
          <w:szCs w:val="24"/>
        </w:rPr>
        <w:t xml:space="preserve">de </w:t>
      </w:r>
      <w:r>
        <w:rPr>
          <w:rFonts w:ascii="Times New Roman" w:eastAsia="Times New Roman" w:hAnsi="Times New Roman" w:cs="Times New Roman"/>
          <w:sz w:val="24"/>
          <w:szCs w:val="24"/>
        </w:rPr>
        <w:t xml:space="preserve">esta ideología concreta, observando qué contradicciones aparecen y qué operaciones la hacen funcionar. Por lo tanto, no estudiamos aquí el discurso específico de Milei como causa probable de su victoria electoral. Tampoco es nuestro propósito tomar a la doctrina teórica libertaria como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del </w:t>
      </w:r>
      <w:proofErr w:type="spellStart"/>
      <w:r>
        <w:rPr>
          <w:rFonts w:ascii="Times New Roman" w:eastAsia="Times New Roman" w:hAnsi="Times New Roman" w:cs="Times New Roman"/>
          <w:sz w:val="24"/>
          <w:szCs w:val="24"/>
        </w:rPr>
        <w:t>mileísmo</w:t>
      </w:r>
      <w:proofErr w:type="spellEnd"/>
      <w:r>
        <w:rPr>
          <w:rFonts w:ascii="Times New Roman" w:eastAsia="Times New Roman" w:hAnsi="Times New Roman" w:cs="Times New Roman"/>
          <w:sz w:val="24"/>
          <w:szCs w:val="24"/>
        </w:rPr>
        <w:t xml:space="preserve">. Antes bien, lo central aquí serán, por un lado, las condiciones de </w:t>
      </w:r>
      <w:r>
        <w:rPr>
          <w:rFonts w:ascii="Times New Roman" w:eastAsia="Times New Roman" w:hAnsi="Times New Roman" w:cs="Times New Roman"/>
          <w:sz w:val="24"/>
          <w:szCs w:val="24"/>
        </w:rPr>
        <w:lastRenderedPageBreak/>
        <w:t xml:space="preserve">emergencia de Milei mismo y, con él, del ascenso del </w:t>
      </w:r>
      <w:proofErr w:type="spellStart"/>
      <w:r>
        <w:rPr>
          <w:rFonts w:ascii="Times New Roman" w:eastAsia="Times New Roman" w:hAnsi="Times New Roman" w:cs="Times New Roman"/>
          <w:sz w:val="24"/>
          <w:szCs w:val="24"/>
        </w:rPr>
        <w:t>libertarianismo</w:t>
      </w:r>
      <w:proofErr w:type="spellEnd"/>
      <w:r>
        <w:rPr>
          <w:rFonts w:ascii="Times New Roman" w:eastAsia="Times New Roman" w:hAnsi="Times New Roman" w:cs="Times New Roman"/>
          <w:sz w:val="24"/>
          <w:szCs w:val="24"/>
        </w:rPr>
        <w:t xml:space="preserve"> como una ideología particular (en términos doctrinales) que se tornó aceptable en una coyuntura determinada, y, por el otro, la dinámica no-humana que pone a jugar en sus propias prácticas. Por último, nos interesa exhibir los efectos políticos concretos que la lógica interna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despliega en términos de una comunidad de lazos autodestructivos.</w:t>
      </w:r>
    </w:p>
    <w:p w14:paraId="00000017"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porqué de las precauciones metodológicas escogidas responde a una serie de dificultades que pretendemos sortear. Por caso, tratar al fenómeno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como una novedad singular cuyo surgimiento </w:t>
      </w:r>
      <w:r>
        <w:rPr>
          <w:rFonts w:ascii="Times New Roman" w:eastAsia="Times New Roman" w:hAnsi="Times New Roman" w:cs="Times New Roman"/>
          <w:i/>
          <w:sz w:val="24"/>
          <w:szCs w:val="24"/>
        </w:rPr>
        <w:t>ex nihilo</w:t>
      </w:r>
      <w:r>
        <w:rPr>
          <w:rFonts w:ascii="Times New Roman" w:eastAsia="Times New Roman" w:hAnsi="Times New Roman" w:cs="Times New Roman"/>
          <w:sz w:val="24"/>
          <w:szCs w:val="24"/>
        </w:rPr>
        <w:t xml:space="preserve"> estaría causado por un momento novedoso de </w:t>
      </w:r>
      <w:r>
        <w:rPr>
          <w:rFonts w:ascii="Times New Roman" w:eastAsia="Times New Roman" w:hAnsi="Times New Roman" w:cs="Times New Roman"/>
          <w:i/>
          <w:sz w:val="24"/>
          <w:szCs w:val="24"/>
        </w:rPr>
        <w:t>derechización</w:t>
      </w:r>
      <w:r>
        <w:rPr>
          <w:rFonts w:ascii="Times New Roman" w:eastAsia="Times New Roman" w:hAnsi="Times New Roman" w:cs="Times New Roman"/>
          <w:sz w:val="24"/>
          <w:szCs w:val="24"/>
        </w:rPr>
        <w:t xml:space="preserve"> general de la sociedad. Argumento que, además, conlleva la dificultad de atribuir una ideologización doctrinaria de derecha al pueblo sin detenerse en las condiciones estructurales que hacen plausible el malestar social. Otro argumento con el que nos interesa discutir es uno de anclaje institucionalista, que le atribuye la responsabilidad del fenómeno únicamente a la incapacidad de los partidos políticos tradicionales argentinos de capturar ciertos valores o intereses que se encuentran en pugna en la sociedad civil (</w:t>
      </w:r>
      <w:proofErr w:type="spellStart"/>
      <w:r>
        <w:rPr>
          <w:rFonts w:ascii="Times New Roman" w:eastAsia="Times New Roman" w:hAnsi="Times New Roman" w:cs="Times New Roman"/>
          <w:sz w:val="24"/>
          <w:szCs w:val="24"/>
        </w:rPr>
        <w:t>Semán</w:t>
      </w:r>
      <w:proofErr w:type="spellEnd"/>
      <w:r>
        <w:rPr>
          <w:rFonts w:ascii="Times New Roman" w:eastAsia="Times New Roman" w:hAnsi="Times New Roman" w:cs="Times New Roman"/>
          <w:sz w:val="24"/>
          <w:szCs w:val="24"/>
        </w:rPr>
        <w:t xml:space="preserve">, 2023). O, por otra parte, que encasilla y explica el fenómeno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desde la autopresentación de los propios actores en su discurso y desde sus lazos con tradiciones políticas concretas, lo que puede llevar a otorgarle a esta ideología el adjetivo de “nacionalista” (Morresi y Vicente, 2023). </w:t>
      </w:r>
    </w:p>
    <w:p w14:paraId="00000018"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propósito de separarnos de estas posiciones para analizar la lógica inmanente a la práctica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procedemos en tres pasos. En primer lugar, enmarcamos al proceso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en una genealogía capitalista de largo alcance, que gira en torno al funcionamiento del mecanismo ideológico del resentimiento. Consideramos que no es posible explicar el fenómeno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sin desarrollar los procesos estructurales que ocasionan el funcionamiento de esta ideología concreta. Además, enmarcar el análisis en la cuestión del resentimiento habilita profundizar en la aparente rebeldía (</w:t>
      </w:r>
      <w:proofErr w:type="spellStart"/>
      <w:r>
        <w:rPr>
          <w:rFonts w:ascii="Times New Roman" w:eastAsia="Times New Roman" w:hAnsi="Times New Roman" w:cs="Times New Roman"/>
          <w:sz w:val="24"/>
          <w:szCs w:val="24"/>
        </w:rPr>
        <w:t>Stefanoni</w:t>
      </w:r>
      <w:proofErr w:type="spellEnd"/>
      <w:r>
        <w:rPr>
          <w:rFonts w:ascii="Times New Roman" w:eastAsia="Times New Roman" w:hAnsi="Times New Roman" w:cs="Times New Roman"/>
          <w:sz w:val="24"/>
          <w:szCs w:val="24"/>
        </w:rPr>
        <w:t>, 2021) con la que se presenta este proceso de derechización. Antes que rebeldía, parece que estamos ante un momento de reacción frente a la ajenidad e impersonalidad con la que nos aparecen las bases objetivas del capitalismo digital y financiero actual.</w:t>
      </w:r>
    </w:p>
    <w:p w14:paraId="00000019"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desde el marco del resentimiento, analizamos la aparición y reproducción de dos figuras no-humanas que toman protagonismo en la operatoria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un sujeto trascendental acumulador de capital y la impureza de la casta. Este análisis habilita leer a esta ideología como un síntoma singular de un proceso de larga duración que responde a un deterioro de lo humano frente a la forma mercancía.</w:t>
      </w:r>
    </w:p>
    <w:p w14:paraId="0000001A"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tercer lugar, exponemos los corolarios políticos de la efectuación política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La realización de las fantasías propiamente </w:t>
      </w:r>
      <w:proofErr w:type="spellStart"/>
      <w:r>
        <w:rPr>
          <w:rFonts w:ascii="Times New Roman" w:eastAsia="Times New Roman" w:hAnsi="Times New Roman" w:cs="Times New Roman"/>
          <w:sz w:val="24"/>
          <w:szCs w:val="24"/>
        </w:rPr>
        <w:t>mileístas</w:t>
      </w:r>
      <w:proofErr w:type="spellEnd"/>
      <w:r>
        <w:rPr>
          <w:rFonts w:ascii="Times New Roman" w:eastAsia="Times New Roman" w:hAnsi="Times New Roman" w:cs="Times New Roman"/>
          <w:sz w:val="24"/>
          <w:szCs w:val="24"/>
        </w:rPr>
        <w:t xml:space="preserve"> suponen la imposición de un estado de guerra de todos contra todos. Pero, en este caso, no habría igualdad alguna entre los enemigos, sino la extinción de aquellos que no estén a la altura de la competencia en el juego engañoso de la acumulación de capital. De este modo, antes que tomar la palabra de los actores de modo inmediato, resulta factible explicar el lazo autodestructivo que genera esta ideología y su corolario colonial, que responde a una lógica de la acumulación que desposee a las naciones periféricas. </w:t>
      </w:r>
    </w:p>
    <w:p w14:paraId="0000001B" w14:textId="77777777" w:rsidR="00237FA9"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resentimiento como mecanismo ideológico de las crisis del capital</w:t>
      </w:r>
    </w:p>
    <w:p w14:paraId="0000001C"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 condición de la vida moderna extiende un “malestar” (</w:t>
      </w:r>
      <w:proofErr w:type="spellStart"/>
      <w:r>
        <w:rPr>
          <w:rFonts w:ascii="Times New Roman" w:eastAsia="Times New Roman" w:hAnsi="Times New Roman" w:cs="Times New Roman"/>
          <w:sz w:val="24"/>
          <w:szCs w:val="24"/>
        </w:rPr>
        <w:t>Löwenthal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Guterman</w:t>
      </w:r>
      <w:proofErr w:type="spellEnd"/>
      <w:r>
        <w:rPr>
          <w:rFonts w:ascii="Times New Roman" w:eastAsia="Times New Roman" w:hAnsi="Times New Roman" w:cs="Times New Roman"/>
          <w:sz w:val="24"/>
          <w:szCs w:val="24"/>
        </w:rPr>
        <w:t xml:space="preserve">, 2021, p. 52), una indigencia del individuo frente a un mundo extrañado, signado por perpetuas </w:t>
      </w:r>
      <w:r>
        <w:rPr>
          <w:rFonts w:ascii="Times New Roman" w:eastAsia="Times New Roman" w:hAnsi="Times New Roman" w:cs="Times New Roman"/>
          <w:sz w:val="24"/>
          <w:szCs w:val="24"/>
        </w:rPr>
        <w:lastRenderedPageBreak/>
        <w:t xml:space="preserve">y cada vez más aceleradas crisis del capital,  no es descabellado plantear que esta condición produce como efecto una armazón particular entre lógica económica y economía afectiva. En el pasaje de la despersonalización de las condiciones objetivas que posibilitan la reproducción del capital a su “personalización” (Adorno, 2009, p. 210) en grupos minorizados que son responsabilizados y colocados como objetos para la descarga, es posible profundizar en los mecanismos ideológicos que lo hacen posible. En este sentido, el resentimiento puede ser concebido como un mecanismo ideológico particular que toma relevancia durante las coyunturas de crisis. En los últimos años han surgido una serie de estudios que recuperaron el concepto de resentimiento para dar cuenta de los fenómenos autoritarios. En particular, </w:t>
      </w:r>
      <w:proofErr w:type="spellStart"/>
      <w:r>
        <w:rPr>
          <w:rFonts w:ascii="Times New Roman" w:eastAsia="Times New Roman" w:hAnsi="Times New Roman" w:cs="Times New Roman"/>
          <w:sz w:val="24"/>
          <w:szCs w:val="24"/>
        </w:rPr>
        <w:t>Rahel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(2022) y Joseph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(2024) han recuperado este concepto a partir de los usos que le han dado Friedrich Nietzsche (2016) y Max Scheler (1994), con el propósito de reflexionar sobre la relación entre capitalismo y autoritarismo con un énfasis típicamente </w:t>
      </w:r>
      <w:proofErr w:type="spellStart"/>
      <w:r>
        <w:rPr>
          <w:rFonts w:ascii="Times New Roman" w:eastAsia="Times New Roman" w:hAnsi="Times New Roman" w:cs="Times New Roman"/>
          <w:sz w:val="24"/>
          <w:szCs w:val="24"/>
        </w:rPr>
        <w:t>frankfurtiano</w:t>
      </w:r>
      <w:proofErr w:type="spellEnd"/>
      <w:r>
        <w:rPr>
          <w:rFonts w:ascii="Times New Roman" w:eastAsia="Times New Roman" w:hAnsi="Times New Roman" w:cs="Times New Roman"/>
          <w:sz w:val="24"/>
          <w:szCs w:val="24"/>
        </w:rPr>
        <w:t>. En concreto, sobre la pregunta de por qué las crisis del sistema capitalista no han provocado una radicalización por izquierda. Es plausible extraer tres postulados principales de ambos estudios que nos permitirán sustentar el argumento y arribar a la cuestión de lo no-humano.</w:t>
      </w:r>
    </w:p>
    <w:p w14:paraId="0000001D"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 lugar,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coinciden en el surgimiento del resentimiento como un afecto particular de las sociedades moderno-capitalistas. Antes que ser un estado mental contingente (que aislaría al resentimiento de su carácter devenido) o un tipo de patología social (que corre el riesgo de psicologizar a determinados grupos sociales), el resentimiento se torna endémico y estructural con el advenimiento del capitalismo y sus relaciones sociales. Al carácter estructural y </w:t>
      </w:r>
      <w:proofErr w:type="spellStart"/>
      <w:r>
        <w:rPr>
          <w:rFonts w:ascii="Times New Roman" w:eastAsia="Times New Roman" w:hAnsi="Times New Roman" w:cs="Times New Roman"/>
          <w:sz w:val="24"/>
          <w:szCs w:val="24"/>
        </w:rPr>
        <w:t>perviviente</w:t>
      </w:r>
      <w:proofErr w:type="spellEnd"/>
      <w:r>
        <w:rPr>
          <w:rFonts w:ascii="Times New Roman" w:eastAsia="Times New Roman" w:hAnsi="Times New Roman" w:cs="Times New Roman"/>
          <w:sz w:val="24"/>
          <w:szCs w:val="24"/>
        </w:rPr>
        <w:t xml:space="preserve"> del resentimiento como principio rector que permite al capitalismo revivir </w:t>
      </w:r>
      <w:r>
        <w:rPr>
          <w:rFonts w:ascii="Times New Roman" w:eastAsia="Times New Roman" w:hAnsi="Times New Roman" w:cs="Times New Roman"/>
          <w:i/>
          <w:sz w:val="24"/>
          <w:szCs w:val="24"/>
        </w:rPr>
        <w:t xml:space="preserve">en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a partir de</w:t>
      </w:r>
      <w:r>
        <w:rPr>
          <w:rFonts w:ascii="Times New Roman" w:eastAsia="Times New Roman" w:hAnsi="Times New Roman" w:cs="Times New Roman"/>
          <w:sz w:val="24"/>
          <w:szCs w:val="24"/>
        </w:rPr>
        <w:t xml:space="preserve"> sus crisis,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(2017) lo denomina “astucia de la razón resentida” (p. 201). Esta conexión inmanente entre capital y resentimiento está dada por el hiato que separa la promesa formal de igualdad y libertad de su efectividad material. Una vez proclamada la igualdad formal de todos, los sujetos se conciben a sí mismos como individuos merecedores de una relación de equivalencia con el resto. Este movimiento auspicia la </w:t>
      </w:r>
      <w:proofErr w:type="spellStart"/>
      <w:r>
        <w:rPr>
          <w:rFonts w:ascii="Times New Roman" w:eastAsia="Times New Roman" w:hAnsi="Times New Roman" w:cs="Times New Roman"/>
          <w:sz w:val="24"/>
          <w:szCs w:val="24"/>
        </w:rPr>
        <w:t>comparatividad</w:t>
      </w:r>
      <w:proofErr w:type="spellEnd"/>
      <w:r>
        <w:rPr>
          <w:rFonts w:ascii="Times New Roman" w:eastAsia="Times New Roman" w:hAnsi="Times New Roman" w:cs="Times New Roman"/>
          <w:sz w:val="24"/>
          <w:szCs w:val="24"/>
        </w:rPr>
        <w:t xml:space="preserve"> universal de todos con todos. Ahora bien, esta apertura, que podría tener un corolario emancipador, puede culminar en la proliferación de un tipo de afecto que tiende a responsabilizar a otros por la inversión de las promesas modernas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El traslado de la lógica de la equivalencia al lazo social habilita una </w:t>
      </w:r>
      <w:proofErr w:type="spellStart"/>
      <w:r>
        <w:rPr>
          <w:rFonts w:ascii="Times New Roman" w:eastAsia="Times New Roman" w:hAnsi="Times New Roman" w:cs="Times New Roman"/>
          <w:sz w:val="24"/>
          <w:szCs w:val="24"/>
        </w:rPr>
        <w:t>comparatividad</w:t>
      </w:r>
      <w:proofErr w:type="spellEnd"/>
      <w:r>
        <w:rPr>
          <w:rFonts w:ascii="Times New Roman" w:eastAsia="Times New Roman" w:hAnsi="Times New Roman" w:cs="Times New Roman"/>
          <w:sz w:val="24"/>
          <w:szCs w:val="24"/>
        </w:rPr>
        <w:t xml:space="preserve"> que toma forma en un “espíritu capitalista” compuesto por un engranaje particular entre “razón calculadora y sensibilidad”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2017, p. 208). Se abre, así, el establecimiento de una comparación entre un individuo y sus otros. Lo que prima en el resentimiento no es tanto una falta que el sujeto percibe objetivamente, sino </w:t>
      </w:r>
      <w:r>
        <w:rPr>
          <w:rFonts w:ascii="Times New Roman" w:eastAsia="Times New Roman" w:hAnsi="Times New Roman" w:cs="Times New Roman"/>
          <w:sz w:val="24"/>
          <w:szCs w:val="24"/>
        </w:rPr>
        <w:lastRenderedPageBreak/>
        <w:t xml:space="preserve">la interpretación de esta última </w:t>
      </w:r>
      <w:r>
        <w:rPr>
          <w:rFonts w:ascii="Times New Roman" w:eastAsia="Times New Roman" w:hAnsi="Times New Roman" w:cs="Times New Roman"/>
          <w:i/>
          <w:sz w:val="24"/>
          <w:szCs w:val="24"/>
        </w:rPr>
        <w:t>en relación a</w:t>
      </w:r>
      <w:r>
        <w:rPr>
          <w:rFonts w:ascii="Times New Roman" w:eastAsia="Times New Roman" w:hAnsi="Times New Roman" w:cs="Times New Roman"/>
          <w:sz w:val="24"/>
          <w:szCs w:val="24"/>
        </w:rPr>
        <w:t xml:space="preserve"> lo que los otros poseen. Tal como sostiene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(2022), “el resentimiento no tiene que ver con lo que tengo o no tengo, sino con lo que no tengo que otros sí tienen” (pp. 506-507; la traducción es propia).</w:t>
      </w:r>
    </w:p>
    <w:p w14:paraId="0000001E"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esta carencia, que ve su </w:t>
      </w:r>
      <w:proofErr w:type="spellStart"/>
      <w:r>
        <w:rPr>
          <w:rFonts w:ascii="Times New Roman" w:eastAsia="Times New Roman" w:hAnsi="Times New Roman" w:cs="Times New Roman"/>
          <w:sz w:val="24"/>
          <w:szCs w:val="24"/>
        </w:rPr>
        <w:t>completud</w:t>
      </w:r>
      <w:proofErr w:type="spellEnd"/>
      <w:r>
        <w:rPr>
          <w:rFonts w:ascii="Times New Roman" w:eastAsia="Times New Roman" w:hAnsi="Times New Roman" w:cs="Times New Roman"/>
          <w:sz w:val="24"/>
          <w:szCs w:val="24"/>
        </w:rPr>
        <w:t xml:space="preserve"> siempre en las posesiones del otro, no constituye una realidad concreta. Antes bien, se trata de un ansia que es abstracta y siempre encuentra las causas de la propia falta en un otro privador.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recurre a la idea marxiana del hedonismo abstracto (Marx, 1978, p. 424), presente en los </w:t>
      </w:r>
      <w:proofErr w:type="spellStart"/>
      <w:r>
        <w:rPr>
          <w:rFonts w:ascii="Times New Roman" w:eastAsia="Times New Roman" w:hAnsi="Times New Roman" w:cs="Times New Roman"/>
          <w:i/>
          <w:sz w:val="24"/>
          <w:szCs w:val="24"/>
        </w:rPr>
        <w:t>Grundrisse</w:t>
      </w:r>
      <w:proofErr w:type="spellEnd"/>
      <w:r>
        <w:rPr>
          <w:rFonts w:ascii="Times New Roman" w:eastAsia="Times New Roman" w:hAnsi="Times New Roman" w:cs="Times New Roman"/>
          <w:sz w:val="24"/>
          <w:szCs w:val="24"/>
        </w:rPr>
        <w:t>, para explicar el vínculo entre el afán de competencia y la insatisfacción permanente del sí-mismo. Un sí-mismo que observa con desmesura la abundancia, una suerte de “fruto prohibido” (</w:t>
      </w:r>
      <w:proofErr w:type="spellStart"/>
      <w:r>
        <w:rPr>
          <w:rFonts w:ascii="Times New Roman" w:eastAsia="Times New Roman" w:hAnsi="Times New Roman" w:cs="Times New Roman"/>
          <w:sz w:val="24"/>
          <w:szCs w:val="24"/>
        </w:rPr>
        <w:t>Löwenthal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Guterman</w:t>
      </w:r>
      <w:proofErr w:type="spellEnd"/>
      <w:r>
        <w:rPr>
          <w:rFonts w:ascii="Times New Roman" w:eastAsia="Times New Roman" w:hAnsi="Times New Roman" w:cs="Times New Roman"/>
          <w:sz w:val="24"/>
          <w:szCs w:val="24"/>
        </w:rPr>
        <w:t>, 2021, p. 65), de un otro que goza mientras él padece. La competencia es la encarnación de la comparación intersubjetiva, que solidifica la correlación entre un cierto deseo de disfrute que es percibido como realizado en el otro, produciendo como efecto un deseo de venganza que es abstracto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Esto es, que nunca tiene un objeto fijo, sino que su objeto permanece </w:t>
      </w:r>
      <w:r>
        <w:rPr>
          <w:rFonts w:ascii="Times New Roman" w:eastAsia="Times New Roman" w:hAnsi="Times New Roman" w:cs="Times New Roman"/>
          <w:i/>
          <w:sz w:val="24"/>
          <w:szCs w:val="24"/>
        </w:rPr>
        <w:t>difuso</w:t>
      </w:r>
      <w:r>
        <w:rPr>
          <w:rFonts w:ascii="Times New Roman" w:eastAsia="Times New Roman" w:hAnsi="Times New Roman" w:cs="Times New Roman"/>
          <w:sz w:val="24"/>
          <w:szCs w:val="24"/>
        </w:rPr>
        <w:t>, pudiendo anclarse en sujetos determinados según el contexto.</w:t>
      </w:r>
    </w:p>
    <w:p w14:paraId="0000001F"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ambos autores sostienen la pasividad e impotencia que supone la indignación propia del resentimiento. La pregunta que surge con la cuestión del resentimiento es por qué esta </w:t>
      </w:r>
      <w:proofErr w:type="spellStart"/>
      <w:r>
        <w:rPr>
          <w:rFonts w:ascii="Times New Roman" w:eastAsia="Times New Roman" w:hAnsi="Times New Roman" w:cs="Times New Roman"/>
          <w:sz w:val="24"/>
          <w:szCs w:val="24"/>
        </w:rPr>
        <w:t>comparatividad</w:t>
      </w:r>
      <w:proofErr w:type="spellEnd"/>
      <w:r>
        <w:rPr>
          <w:rFonts w:ascii="Times New Roman" w:eastAsia="Times New Roman" w:hAnsi="Times New Roman" w:cs="Times New Roman"/>
          <w:sz w:val="24"/>
          <w:szCs w:val="24"/>
        </w:rPr>
        <w:t xml:space="preserve"> universal tiende a virar hacia el autoritarismo. Nietzsche (2016) ya había definido al resentimiento como una “reacción” que dirige su negación “ya de antemano, a un ‘afuera’, a un ‘otro’, a un ‘no-yo’” (p. 56). Es decir, el sujeto resentido, antes que actuar de manera espontánea, reacciona anticipadamente frente a la otredad, dirigiendo su ira hacia algún objeto exterior.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recuperan esta idea para darle una vuelta más. Al ser un afecto “reflexivo”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2017, p. 208) o “de segundo orden”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2022, p. 506), el </w:t>
      </w:r>
      <w:proofErr w:type="spellStart"/>
      <w:r>
        <w:rPr>
          <w:rFonts w:ascii="Times New Roman" w:eastAsia="Times New Roman" w:hAnsi="Times New Roman" w:cs="Times New Roman"/>
          <w:i/>
          <w:sz w:val="24"/>
          <w:szCs w:val="24"/>
        </w:rPr>
        <w:t>re</w:t>
      </w:r>
      <w:r>
        <w:rPr>
          <w:rFonts w:ascii="Times New Roman" w:eastAsia="Times New Roman" w:hAnsi="Times New Roman" w:cs="Times New Roman"/>
          <w:sz w:val="24"/>
          <w:szCs w:val="24"/>
        </w:rPr>
        <w:t>-sentimiento</w:t>
      </w:r>
      <w:proofErr w:type="spellEnd"/>
      <w:r>
        <w:rPr>
          <w:rFonts w:ascii="Times New Roman" w:eastAsia="Times New Roman" w:hAnsi="Times New Roman" w:cs="Times New Roman"/>
          <w:sz w:val="24"/>
          <w:szCs w:val="24"/>
        </w:rPr>
        <w:t xml:space="preserve"> entraña una reacción provocada por una revisión de las causas del propio malestar mediante una mixtura entre indignación y lógica calculadora del capital. Sin embargo, esta revisión no se dirige hacia un examen de las condiciones objetivas o estructurales que producen el malestar, sino que finaliza en una “eficiente autocrítica capitalista mediante la cual, en tiempos de crisis, el sistema económico logra asegurarse la supervivencia. Las condiciones mismas quedan intactas”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2024, p. 218). Así, el resentimiento no ahonda en las causas estructurales que pueden producir el malestar generalizado, sino que construye un chivo expiatorio al cual se le atribuye la responsabilidad de la situación vivida. </w:t>
      </w:r>
    </w:p>
    <w:p w14:paraId="00000020"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indignación que provoca la impotencia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frente a la situación propia se duplica: el resentimiento se erige de forma mediada, como una reacción contra la reacción. Al decir de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la reacción no es solo contra “la falta o privación de algo, sino también contra la incapacidad de hacer algo al respecto [...] de </w:t>
      </w:r>
      <w:r>
        <w:rPr>
          <w:rFonts w:ascii="Times New Roman" w:eastAsia="Times New Roman" w:hAnsi="Times New Roman" w:cs="Times New Roman"/>
          <w:i/>
          <w:sz w:val="24"/>
          <w:szCs w:val="24"/>
        </w:rPr>
        <w:t xml:space="preserve">ingresar </w:t>
      </w:r>
      <w:r>
        <w:rPr>
          <w:rFonts w:ascii="Times New Roman" w:eastAsia="Times New Roman" w:hAnsi="Times New Roman" w:cs="Times New Roman"/>
          <w:sz w:val="24"/>
          <w:szCs w:val="24"/>
        </w:rPr>
        <w:t>al campo de batalla”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xml:space="preserve">, 2022, pp. 508-509; las cursivas son propias). Es decir, el resentimiento no es solo una reacción contra la falta percibida en relación a un otro gozante, sino también contra la impotencia derivada de no poder transformar la situación vivida. La imposibilidad de dar </w:t>
      </w:r>
      <w:r>
        <w:rPr>
          <w:rFonts w:ascii="Times New Roman" w:eastAsia="Times New Roman" w:hAnsi="Times New Roman" w:cs="Times New Roman"/>
          <w:sz w:val="24"/>
          <w:szCs w:val="24"/>
        </w:rPr>
        <w:lastRenderedPageBreak/>
        <w:t>cuenta y de expresar los afectos sentidos (indignación, ira, deseo de venganza) fortalece su represión, volviendo al sujeto impotente frente a sus propios sentimientos. La cuestión es que, dadas estas circunstancias, el resentimiento se efectúa como un “mecanismo de defensa ideológico” (</w:t>
      </w:r>
      <w:proofErr w:type="spellStart"/>
      <w:r>
        <w:rPr>
          <w:rFonts w:ascii="Times New Roman" w:eastAsia="Times New Roman" w:hAnsi="Times New Roman" w:cs="Times New Roman"/>
          <w:sz w:val="24"/>
          <w:szCs w:val="24"/>
        </w:rPr>
        <w:t>Jaeggi</w:t>
      </w:r>
      <w:proofErr w:type="spellEnd"/>
      <w:r>
        <w:rPr>
          <w:rFonts w:ascii="Times New Roman" w:eastAsia="Times New Roman" w:hAnsi="Times New Roman" w:cs="Times New Roman"/>
          <w:sz w:val="24"/>
          <w:szCs w:val="24"/>
        </w:rPr>
        <w:t>, 2022, p. 517) que, con el objetivo de reforzar este yo debilitado en el contexto de la expectativa de omnipotencia subjetiva de la ideología neoliberal, encuentra como salida la expulsión de o venganza contra un otro. En tal sentido, la percepción de los sujetos de que su falta constituye una injusticia, o de que han sido víctimas de un agravio moral (</w:t>
      </w:r>
      <w:proofErr w:type="spellStart"/>
      <w:r>
        <w:rPr>
          <w:rFonts w:ascii="Times New Roman" w:eastAsia="Times New Roman" w:hAnsi="Times New Roman" w:cs="Times New Roman"/>
          <w:sz w:val="24"/>
          <w:szCs w:val="24"/>
        </w:rPr>
        <w:t>Honneth</w:t>
      </w:r>
      <w:proofErr w:type="spellEnd"/>
      <w:r>
        <w:rPr>
          <w:rFonts w:ascii="Times New Roman" w:eastAsia="Times New Roman" w:hAnsi="Times New Roman" w:cs="Times New Roman"/>
          <w:sz w:val="24"/>
          <w:szCs w:val="24"/>
        </w:rPr>
        <w:t xml:space="preserve">, 2009), puede orientarse, en el marco de la impotencia generada por la contradicción entre la presuposición de la omnipotencia individual encarnada en la ideología neoliberal (Butler, 2017; Catanzaro, 2021) y sus condiciones materiales de existencia, a la necesidad de descargar la ira acumulada sobre un otro que es figurado como responsable. </w:t>
      </w:r>
    </w:p>
    <w:p w14:paraId="00000021"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tercer lugar, podemos destacar, en el análisis de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(2014), la intensificación de este sentimiento dadas las mutaciones provocadas por el advenimiento del capitalismo digital y financiero. Por un lado, la expansión de los mercados de opinión entraña la extensión y profundización de la lógica financiera a través de las nuevas formas de comunicación digital. La acumulación de capital se sustenta en la circulación y procesamiento de la información, al mismo tiempo que los procesos de valoración capitalista exigen como precio la desvalorización del sí-mismo, la posibilidad de realizar sus deseos y, en consecuencia, el acrecentamiento de su impotencia. Asimismo, la universalización de la información se lleva a cabo a expensas de una </w:t>
      </w:r>
      <w:proofErr w:type="spellStart"/>
      <w:r>
        <w:rPr>
          <w:rFonts w:ascii="Times New Roman" w:eastAsia="Times New Roman" w:hAnsi="Times New Roman" w:cs="Times New Roman"/>
          <w:sz w:val="24"/>
          <w:szCs w:val="24"/>
        </w:rPr>
        <w:t>monadización</w:t>
      </w:r>
      <w:proofErr w:type="spellEnd"/>
      <w:r>
        <w:rPr>
          <w:rFonts w:ascii="Times New Roman" w:eastAsia="Times New Roman" w:hAnsi="Times New Roman" w:cs="Times New Roman"/>
          <w:sz w:val="24"/>
          <w:szCs w:val="24"/>
        </w:rPr>
        <w:t xml:space="preserve"> paulatina de las subjetividades. Lo que democráticamente había sido pensado como una apertura hacia lo universal y lo plural es cercenada por el capitalismo digital. En particular a través de la reproducción del sujeto como una particularidad cerrada sobre sí mismo y en competencia con otras. Sin embargo, esta diferenciación va acompañada de una simultánea homogeneización. Es que, cuanto más personalizado y diferenciado está cada usuario, más homogéneo se vuelve esa particularidad que, a fin de cuentas, está producida por una serie de algoritmos regidos por la ipseidad.  Por otro lado, el afianzamiento de las redes sociales y de las lógicas de comunicación digitales suprimen</w:t>
      </w:r>
      <w:r>
        <w:rPr>
          <w:rFonts w:ascii="Times New Roman" w:eastAsia="Times New Roman" w:hAnsi="Times New Roman" w:cs="Times New Roman"/>
          <w:sz w:val="24"/>
          <w:szCs w:val="24"/>
          <w:shd w:val="clear" w:color="auto" w:fill="F6B26B"/>
        </w:rPr>
        <w:t xml:space="preserve"> </w:t>
      </w:r>
      <w:r>
        <w:rPr>
          <w:rFonts w:ascii="Times New Roman" w:eastAsia="Times New Roman" w:hAnsi="Times New Roman" w:cs="Times New Roman"/>
          <w:sz w:val="24"/>
          <w:szCs w:val="24"/>
        </w:rPr>
        <w:t xml:space="preserve">las mediaciones políticas tradicionales clásicas en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de una relación inmediata entre los líderes y sus</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followers</w:t>
      </w:r>
      <w:proofErr w:type="spellEnd"/>
      <w:r>
        <w:rPr>
          <w:rFonts w:ascii="Times New Roman" w:eastAsia="Times New Roman" w:hAnsi="Times New Roman" w:cs="Times New Roman"/>
          <w:sz w:val="24"/>
          <w:szCs w:val="24"/>
        </w:rPr>
        <w:t xml:space="preserve">, la cual tiene como corolario una reacción inmediata e irreflexiva que fomenta la impotencia subjetiva.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ejemplifica la formación de estas nuevas comunidades de usuarios mediante las prácticas del </w:t>
      </w:r>
      <w:r>
        <w:rPr>
          <w:rFonts w:ascii="Times New Roman" w:eastAsia="Times New Roman" w:hAnsi="Times New Roman" w:cs="Times New Roman"/>
          <w:i/>
          <w:sz w:val="24"/>
          <w:szCs w:val="24"/>
        </w:rPr>
        <w:t xml:space="preserve">targeting </w:t>
      </w:r>
      <w:r>
        <w:rPr>
          <w:rFonts w:ascii="Times New Roman" w:eastAsia="Times New Roman" w:hAnsi="Times New Roman" w:cs="Times New Roman"/>
          <w:sz w:val="24"/>
          <w:szCs w:val="24"/>
        </w:rPr>
        <w:t xml:space="preserve">y los </w:t>
      </w:r>
      <w:r>
        <w:rPr>
          <w:rFonts w:ascii="Times New Roman" w:eastAsia="Times New Roman" w:hAnsi="Times New Roman" w:cs="Times New Roman"/>
          <w:i/>
          <w:sz w:val="24"/>
          <w:szCs w:val="24"/>
        </w:rPr>
        <w:t>hashtags</w:t>
      </w:r>
      <w:r>
        <w:rPr>
          <w:rFonts w:ascii="Times New Roman" w:eastAsia="Times New Roman" w:hAnsi="Times New Roman" w:cs="Times New Roman"/>
          <w:sz w:val="24"/>
          <w:szCs w:val="24"/>
        </w:rPr>
        <w:t xml:space="preserve">, que identifican y segmentan con rapidez el perfil que funciona como blanco homogéneo con el cual interactuar. Sin obviar, por otra parte, la circulación de información </w:t>
      </w:r>
      <w:proofErr w:type="spellStart"/>
      <w:r>
        <w:rPr>
          <w:rFonts w:ascii="Times New Roman" w:eastAsia="Times New Roman" w:hAnsi="Times New Roman" w:cs="Times New Roman"/>
          <w:sz w:val="24"/>
          <w:szCs w:val="24"/>
        </w:rPr>
        <w:t>infundamentada</w:t>
      </w:r>
      <w:proofErr w:type="spellEnd"/>
      <w:r>
        <w:rPr>
          <w:rFonts w:ascii="Times New Roman" w:eastAsia="Times New Roman" w:hAnsi="Times New Roman" w:cs="Times New Roman"/>
          <w:sz w:val="24"/>
          <w:szCs w:val="24"/>
        </w:rPr>
        <w:t xml:space="preserve"> o las llamadas </w:t>
      </w:r>
      <w:proofErr w:type="spellStart"/>
      <w:r>
        <w:rPr>
          <w:rFonts w:ascii="Times New Roman" w:eastAsia="Times New Roman" w:hAnsi="Times New Roman" w:cs="Times New Roman"/>
          <w:i/>
          <w:sz w:val="24"/>
          <w:szCs w:val="24"/>
        </w:rPr>
        <w:t>fake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sz w:val="24"/>
          <w:szCs w:val="24"/>
        </w:rPr>
        <w:t xml:space="preserve">. Todo ello, dice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(2024), cumple un “antiguo sueño liberal o liberalista: conectar directamente la producción de lo social con los procesos de reproducción del capital” (p. 227).</w:t>
      </w:r>
    </w:p>
    <w:p w14:paraId="00000022" w14:textId="77777777" w:rsidR="00237FA9" w:rsidRDefault="00000000">
      <w:pPr>
        <w:spacing w:after="20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El imperativo de eliminar las impurezas: el sujeto trascendental de la acumulación al poder</w:t>
      </w:r>
    </w:p>
    <w:p w14:paraId="00000023"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diferencia de lo comentado por </w:t>
      </w: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es posible colegir que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conjuga de un modo distinto la construcción antinómica entre lo “productivo e improductivo” (p. 217) que el autor destaca para explicar el caso histórico del antisemitismo, en el cual los sujetos son demonizados por su aparente improductividad. Por el contrario, es la improductividad misma derivada de la acumulación de capital financiero la que condiciona la emergencia de un sujeto trascendental cuyo deber apunta </w:t>
      </w:r>
      <w:r>
        <w:rPr>
          <w:rFonts w:ascii="Times New Roman" w:eastAsia="Times New Roman" w:hAnsi="Times New Roman" w:cs="Times New Roman"/>
          <w:sz w:val="24"/>
          <w:szCs w:val="24"/>
        </w:rPr>
        <w:lastRenderedPageBreak/>
        <w:t xml:space="preserve">a recortar todo lo que considere como obstáculo para ello. ¿En qué otro contexto es posible que un presidente enuncie públicamente que “el que fuga es un héroe”? Si nos detenemos en las prácticas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es posible observar un discurso del “argentino de bien”, cuyo sacrificio está a la orden del día. Sin embargo, el sacrificio no aparece en función de una productividad, ya sea individual o colectiva, sino con vistas a un anhelo de acumulación que debe sustraerse de las condiciones que imposibilitan satisfacerlo. Este discurso ideológico, diremos, persiste a condición de producir otra figura contraria, pero ambas de un lado u otro del ámbito de lo humano. A la primera figura la denominamos </w:t>
      </w:r>
      <w:r>
        <w:rPr>
          <w:rFonts w:ascii="Times New Roman" w:eastAsia="Times New Roman" w:hAnsi="Times New Roman" w:cs="Times New Roman"/>
          <w:i/>
          <w:sz w:val="24"/>
          <w:szCs w:val="24"/>
        </w:rPr>
        <w:t>sujeto trascendental de la acumulación capitalista</w:t>
      </w:r>
      <w:r>
        <w:rPr>
          <w:rFonts w:ascii="Times New Roman" w:eastAsia="Times New Roman" w:hAnsi="Times New Roman" w:cs="Times New Roman"/>
          <w:sz w:val="24"/>
          <w:szCs w:val="24"/>
        </w:rPr>
        <w:t xml:space="preserve">. A la segunda, que se le opone en sus propios términos, la podemos definir como </w:t>
      </w:r>
      <w:r>
        <w:rPr>
          <w:rFonts w:ascii="Times New Roman" w:eastAsia="Times New Roman" w:hAnsi="Times New Roman" w:cs="Times New Roman"/>
          <w:i/>
          <w:sz w:val="24"/>
          <w:szCs w:val="24"/>
        </w:rPr>
        <w:t>impureza de la casta</w:t>
      </w:r>
      <w:r>
        <w:rPr>
          <w:rFonts w:ascii="Times New Roman" w:eastAsia="Times New Roman" w:hAnsi="Times New Roman" w:cs="Times New Roman"/>
          <w:sz w:val="24"/>
          <w:szCs w:val="24"/>
        </w:rPr>
        <w:t>.</w:t>
      </w:r>
    </w:p>
    <w:p w14:paraId="00000024"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síntoma de la crisis contemporánea de lo humano es la legitimidad y reproducción de la figura más humana que puede proyectar la ideología dominante en la Argentina reciente: la de una máquina purificada de sus pulsiones internas. Un sujeto recortado de sus impulsos, estratega y gestor que puede procurar un “crecimiento económico con o sin dinero” (Milei, 12 de noviembre de 2023). Un sujeto que persigue la imagen de devenir señor de sí mismo a los fines de acumular incesantemente más y más capital. El asesor financiero adquiere peso como un más-que-humano, un superhéroe cuyas especulaciones se asemejan al funcionamiento mismo del capital. O, digamos así, una máquina que puede extraer el máximo rédito económico de cada oportunidad. La ejecución de este “ideal del yo” (Freud, 1992, p. 91) conjuga una doble operación: el establecimiento de un imperativo y la correlativa forclusión (</w:t>
      </w:r>
      <w:proofErr w:type="spellStart"/>
      <w:r>
        <w:rPr>
          <w:rFonts w:ascii="Times New Roman" w:eastAsia="Times New Roman" w:hAnsi="Times New Roman" w:cs="Times New Roman"/>
          <w:i/>
          <w:sz w:val="24"/>
          <w:szCs w:val="24"/>
        </w:rPr>
        <w:t>Verwerfung</w:t>
      </w:r>
      <w:proofErr w:type="spellEnd"/>
      <w:r>
        <w:rPr>
          <w:rFonts w:ascii="Times New Roman" w:eastAsia="Times New Roman" w:hAnsi="Times New Roman" w:cs="Times New Roman"/>
          <w:sz w:val="24"/>
          <w:szCs w:val="24"/>
        </w:rPr>
        <w:t xml:space="preserve">) de las pulsiones internas que retornan como amenaza. </w:t>
      </w:r>
    </w:p>
    <w:p w14:paraId="00000025"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Decimos </w:t>
      </w:r>
      <w:r>
        <w:rPr>
          <w:rFonts w:ascii="Times New Roman" w:eastAsia="Times New Roman" w:hAnsi="Times New Roman" w:cs="Times New Roman"/>
          <w:i/>
          <w:sz w:val="24"/>
          <w:szCs w:val="24"/>
        </w:rPr>
        <w:t>sujeto trascendental</w:t>
      </w:r>
      <w:r>
        <w:rPr>
          <w:rFonts w:ascii="Times New Roman" w:eastAsia="Times New Roman" w:hAnsi="Times New Roman" w:cs="Times New Roman"/>
          <w:sz w:val="24"/>
          <w:szCs w:val="24"/>
        </w:rPr>
        <w:t xml:space="preserve"> por la ejecución de una máxima universal que requiere como condición la abstracción de los impulsos internos. El imperativo podría dictarse del siguiente modo: “obra solo según aquella máxima por la cual puedas querer que al mismo tiempo” (Kant, 2012, p. 126) </w:t>
      </w:r>
      <w:r>
        <w:rPr>
          <w:rFonts w:ascii="Times New Roman" w:eastAsia="Times New Roman" w:hAnsi="Times New Roman" w:cs="Times New Roman"/>
          <w:i/>
          <w:sz w:val="24"/>
          <w:szCs w:val="24"/>
        </w:rPr>
        <w:t>acumules capital</w:t>
      </w:r>
      <w:r>
        <w:rPr>
          <w:rFonts w:ascii="Times New Roman" w:eastAsia="Times New Roman" w:hAnsi="Times New Roman" w:cs="Times New Roman"/>
          <w:sz w:val="24"/>
          <w:szCs w:val="24"/>
        </w:rPr>
        <w:t>. La ideología neoliberal del individuo empresario de sí mismo es llevada a punto tal de que exige la purgación total de la “naturaleza interna” (Adorno y Horkheimer, 2020, p. 47) del sujeto humano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el “argentino de bien” debe rendir su propia animalidad humana. Esto es, debe sacrificar su vida terrenal en función de su vida celestial. Para advenir como máquina financiera, dueño y gestor de su propia existencia, precisa purificar la plétora interna de excrecencias que impide su omnipotencia. De este modo, este sujeto trascendental no tiene otra voluntad que acumular sin cesar. Se mortifica para deshacerse de los impulsos que hacen a su costado empírico, de manera tal que “ningún hombre tiende hacia las inclinaciones, cualesquiera que sean, sino solo hacia la ley” (Kant, 2005, p. 109) que exige acumular. </w:t>
      </w:r>
    </w:p>
    <w:p w14:paraId="00000026"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tomar por cierta esta autopresentación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puede conllevar un riesgo si no se analizan sus implicancias en términos de sus mecanismos específicamente ideológicos. La pureza de la máquina financiera demanda una liberación de las tensiones humanas. Pues, en el afán de pureza, todo lo finito y condicionado tiende a aparecer como un obstáculo o una deformación que debe ser rectificada. La figura del propio Milei puede iluminar algo de este modo de interpelación ideológica. En él conviven un discurso de autocontrol y disciplina, del sujeto estoico con el “delirio del </w:t>
      </w:r>
      <w:r>
        <w:rPr>
          <w:rFonts w:ascii="Times New Roman" w:eastAsia="Times New Roman" w:hAnsi="Times New Roman" w:cs="Times New Roman"/>
          <w:sz w:val="24"/>
          <w:szCs w:val="24"/>
        </w:rPr>
        <w:lastRenderedPageBreak/>
        <w:t>engreimiento” (Hegel, 2022, p. 449). Por un lado, se presenta como una máquina disciplinada que controla sus impulsos sexuales mediante el Tantra, que no necesita dormir ni le gusta alimentarse o solo considera al alimento como combustible para que su máquina corporal siga la tarea de acumulación. “No sé. Para mí, la comida es una cuestión meramente fisiológica. Es una forma de meterle combustible al cuerpo [...] Si vos me dieras una forma de alimentarme vía pastillas sin tener que estar comiendo, me mando las pastilla</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(Milei, 27 de septiembre de 2021). Pero, por el otro lado, esta imagen limpia de autocontrol convive de manera tensionada con el Milei alborotado, despeinado, vestido como un </w:t>
      </w:r>
      <w:proofErr w:type="spellStart"/>
      <w:r>
        <w:rPr>
          <w:rFonts w:ascii="Times New Roman" w:eastAsia="Times New Roman" w:hAnsi="Times New Roman" w:cs="Times New Roman"/>
          <w:sz w:val="24"/>
          <w:szCs w:val="24"/>
        </w:rPr>
        <w:t>rockero</w:t>
      </w:r>
      <w:proofErr w:type="spellEnd"/>
      <w:r>
        <w:rPr>
          <w:rFonts w:ascii="Times New Roman" w:eastAsia="Times New Roman" w:hAnsi="Times New Roman" w:cs="Times New Roman"/>
          <w:sz w:val="24"/>
          <w:szCs w:val="24"/>
        </w:rPr>
        <w:t xml:space="preserve"> y en un imperecedero estado de rabia, asimilándose a la imagen salvaje del león. </w:t>
      </w:r>
    </w:p>
    <w:p w14:paraId="00000027"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existencia de esta unidad contradictoria puede ser analizada bajo los efectos del mecanismo de la forclusión, mediante la cual “lo cancelado adentro retorna desde afuera” (Freud, 1991, p. 66). El mandato de </w:t>
      </w:r>
      <w:proofErr w:type="spellStart"/>
      <w:r>
        <w:rPr>
          <w:rFonts w:ascii="Times New Roman" w:eastAsia="Times New Roman" w:hAnsi="Times New Roman" w:cs="Times New Roman"/>
          <w:sz w:val="24"/>
          <w:szCs w:val="24"/>
        </w:rPr>
        <w:t>autohigiene</w:t>
      </w:r>
      <w:proofErr w:type="spellEnd"/>
      <w:r>
        <w:rPr>
          <w:rFonts w:ascii="Times New Roman" w:eastAsia="Times New Roman" w:hAnsi="Times New Roman" w:cs="Times New Roman"/>
          <w:sz w:val="24"/>
          <w:szCs w:val="24"/>
        </w:rPr>
        <w:t xml:space="preserve"> de esta máquina financiera solo puede realizarse en el intento de exclusión de las propias pulsiones, que retornan como una amenaza representada en la imagen de una impureza irreconciliable. Su representación es encarnada como una entidad maligna que impide la realización del ideal trascendental de acumulación. La </w:t>
      </w:r>
      <w:r>
        <w:rPr>
          <w:rFonts w:ascii="Times New Roman" w:eastAsia="Times New Roman" w:hAnsi="Times New Roman" w:cs="Times New Roman"/>
          <w:i/>
          <w:sz w:val="24"/>
          <w:szCs w:val="24"/>
        </w:rPr>
        <w:t xml:space="preserve">casta </w:t>
      </w:r>
      <w:r>
        <w:rPr>
          <w:rFonts w:ascii="Times New Roman" w:eastAsia="Times New Roman" w:hAnsi="Times New Roman" w:cs="Times New Roman"/>
          <w:sz w:val="24"/>
          <w:szCs w:val="24"/>
        </w:rPr>
        <w:t xml:space="preserve">es concebida desde un absoluto pecaminoso: una serie de bestias inhumanas cuya intención no es otra que agravar las penas del “argentino de bien” en función de su propio goce. Quienes pertenecen a ella son “ladrones” y “corruptos” que gozan de una fortuna posibilitada por la contribución del ciudadano a través de impuestos. La bestialidad de la casta es habilitada por la existencia del producto más parasitario de la historia humana: el Estado, el cual es definido por el propio Milei como “el pedófilo en el jardín de infantes con los nenes encadenados y bañados en vaselina” (Milei, 16 de octubre de 2023). La recurrencia a metáforas de violación y pedofilia, en definitiva, no significan otra cosa que un sadismo de una casta que es cruel, diabólica y que está sometida a sus pulsiones más bajas. No fue casual la invocación de imágenes que apelaban a estos elementos monstruosos e inhumanos como los “orcos”. El imaginario del orco funciona fortaleciendo la consistencia maligna del otro. El orco, según su uso habitual en materiales audiovisuales pertenecientes al género fantasioso, como </w:t>
      </w:r>
      <w:r>
        <w:rPr>
          <w:rFonts w:ascii="Times New Roman" w:eastAsia="Times New Roman" w:hAnsi="Times New Roman" w:cs="Times New Roman"/>
          <w:i/>
          <w:sz w:val="24"/>
          <w:szCs w:val="24"/>
        </w:rPr>
        <w:t>El señor de los anillos</w:t>
      </w:r>
      <w:r>
        <w:rPr>
          <w:rFonts w:ascii="Times New Roman" w:eastAsia="Times New Roman" w:hAnsi="Times New Roman" w:cs="Times New Roman"/>
          <w:sz w:val="24"/>
          <w:szCs w:val="24"/>
        </w:rPr>
        <w:t>, pertenece a un ejército de humanos deformados que, alistados y organizados, se lanzan a la destrucción de una vida armoniosa.</w:t>
      </w:r>
    </w:p>
    <w:p w14:paraId="00000028"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otra práctica que se presenta es la depuración de la imagen del líder. Por caso, los rasgos físicos de Milei son perfeccionados mediante el uso de inteligencia artificial. Proliferan, así, imágenes de Milei que exageran sus cualidades viriles, con musculatura exagerada, relojes costosos y ropajes similares a los del </w:t>
      </w:r>
      <w:r>
        <w:rPr>
          <w:rFonts w:ascii="Times New Roman" w:eastAsia="Times New Roman" w:hAnsi="Times New Roman" w:cs="Times New Roman"/>
          <w:i/>
          <w:sz w:val="24"/>
          <w:szCs w:val="24"/>
        </w:rPr>
        <w:t>Lobo de Wall Street</w:t>
      </w:r>
      <w:r>
        <w:rPr>
          <w:rFonts w:ascii="Times New Roman" w:eastAsia="Times New Roman" w:hAnsi="Times New Roman" w:cs="Times New Roman"/>
          <w:sz w:val="24"/>
          <w:szCs w:val="24"/>
        </w:rPr>
        <w:t xml:space="preserve">. La insuficiencia respecto del ideal del yo tiene que ser suplida mediante esta corrección técnica y artificial que, simultáneamente, proyecta los elementos corruptos hacia fuera. Para poder reproducirse, necesita apuntar hacia otros como los portadores de una suciedad mayor. Una suciedad tal que la suya parezca menor o nula. Estas imágenes </w:t>
      </w:r>
      <w:proofErr w:type="spellStart"/>
      <w:r>
        <w:rPr>
          <w:rFonts w:ascii="Times New Roman" w:eastAsia="Times New Roman" w:hAnsi="Times New Roman" w:cs="Times New Roman"/>
          <w:sz w:val="24"/>
          <w:szCs w:val="24"/>
        </w:rPr>
        <w:t>hiperidealizadas</w:t>
      </w:r>
      <w:proofErr w:type="spellEnd"/>
      <w:r>
        <w:rPr>
          <w:rFonts w:ascii="Times New Roman" w:eastAsia="Times New Roman" w:hAnsi="Times New Roman" w:cs="Times New Roman"/>
          <w:sz w:val="24"/>
          <w:szCs w:val="24"/>
        </w:rPr>
        <w:t xml:space="preserve"> son multiplicadas en las redes sociales por </w:t>
      </w:r>
      <w:proofErr w:type="spellStart"/>
      <w:r>
        <w:rPr>
          <w:rFonts w:ascii="Times New Roman" w:eastAsia="Times New Roman" w:hAnsi="Times New Roman" w:cs="Times New Roman"/>
          <w:i/>
          <w:sz w:val="24"/>
          <w:szCs w:val="24"/>
        </w:rPr>
        <w:t>trolls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se encargan de producirlas o fomentar su circulación, al mismo tiempo que atacan aquello que aparece como “obsceno, indeseable, abyecto” (Nunes, 2024, p. 88). Las múltiples capas de mediación digital, paradójicamente, vuelven a la acción más inmediata. En tanto no hay consecuencias para la acción en la vida digital, ya sea por el anonimato o por la desinhibición de no tener “personas de carne y hueso del otro lado” (Nunes, 2024, p. 85), el troll se lanza a reproducir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provocando una </w:t>
      </w:r>
      <w:proofErr w:type="spellStart"/>
      <w:r>
        <w:rPr>
          <w:rFonts w:ascii="Times New Roman" w:eastAsia="Times New Roman" w:hAnsi="Times New Roman" w:cs="Times New Roman"/>
          <w:sz w:val="24"/>
          <w:szCs w:val="24"/>
        </w:rPr>
        <w:t>espectacularización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burlona, ya sea en la idolatría al superhombre financiero o en el desdeño de los obstáculos que son graficados de modo grotesco.</w:t>
      </w:r>
    </w:p>
    <w:p w14:paraId="00000029" w14:textId="77777777" w:rsidR="00237FA9" w:rsidRDefault="00000000">
      <w:pPr>
        <w:spacing w:after="200" w:line="240" w:lineRule="auto"/>
        <w:jc w:val="both"/>
        <w:rPr>
          <w:rFonts w:ascii="Times New Roman" w:eastAsia="Times New Roman" w:hAnsi="Times New Roman" w:cs="Times New Roman"/>
          <w:sz w:val="24"/>
          <w:szCs w:val="24"/>
          <w:shd w:val="clear" w:color="auto" w:fill="F6B26B"/>
        </w:rPr>
      </w:pPr>
      <w:r>
        <w:rPr>
          <w:rFonts w:ascii="Times New Roman" w:eastAsia="Times New Roman" w:hAnsi="Times New Roman" w:cs="Times New Roman"/>
          <w:sz w:val="24"/>
          <w:szCs w:val="24"/>
        </w:rPr>
        <w:t xml:space="preserve">De este modo,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se construye un chivo expiatorio sobre el cual es posible, de modo correlativo al ideal trascendental de acumulación, descargar el cúmulo pulsional. Liberarse de los propios impulsos conlleva aquí sacrificarse a sí mismo y sacrificar al otro, el cual es culpable de deformar la llegada de un estado donde la acumulación por la acumulación misma sea realizable. La impotencia frente a la despersonalización del mundo es reconducida hacia un blanco que encarna la pura maldad. Y que, además, es imaginado como la causa primordial del “empobrecimiento” y la “decadencia”. De este modo, el sadismo gozoso de la casta se invierte en el sadismo del “argentino de bien”, quien disfruta de su sacrificio (Catanzaro y </w:t>
      </w:r>
      <w:proofErr w:type="spellStart"/>
      <w:r>
        <w:rPr>
          <w:rFonts w:ascii="Times New Roman" w:eastAsia="Times New Roman" w:hAnsi="Times New Roman" w:cs="Times New Roman"/>
          <w:sz w:val="24"/>
          <w:szCs w:val="24"/>
        </w:rPr>
        <w:t>Stegmayer</w:t>
      </w:r>
      <w:proofErr w:type="spellEnd"/>
      <w:r>
        <w:rPr>
          <w:rFonts w:ascii="Times New Roman" w:eastAsia="Times New Roman" w:hAnsi="Times New Roman" w:cs="Times New Roman"/>
          <w:sz w:val="24"/>
          <w:szCs w:val="24"/>
        </w:rPr>
        <w:t>, en prensa), pero, más aún, disfruta del dolor del otro. El sujeto trascendental, tal como lo vio Lacan (2009)</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en sus elucubraciones sobre la relación entre Kant y Sade, adquiere un matiz perverso. La renuncia a los propios impulsos en virtud de un imperativo conlleva un “sufrimiento” que se muestra “con toda magnificencia” (Kant, 2005, p. 183). El sujeto sádico se pone en lugar de objeto masoquista a expensas de la violencia del otro (aquí, la casta). Se goza simultáneamente del dolor propio y de su inversión en el dolor del otro, en una dialéctica que va y vuelve entre  ponerse como objeto de la violencia y procurar la fragmentación del otro en favor del ideal. En otras palabras, el sujeto trascendental que personifica el “argentino de bien” no solo goza de su sacrificio, sino que goza de la fragmentación de los otros en el recorrido que demanda el deber moral de la acumulación. </w:t>
      </w:r>
    </w:p>
    <w:p w14:paraId="0000002A" w14:textId="77777777" w:rsidR="00237FA9"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deseo que extiende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es “que estalle” (Milei, 3 de marzo de 2022) y la promesa es que efectivamente estallará. En este sentido, es comprensible la interpelación en la que insistió Milei reiteradamente: “no vine acá para guiar corderos, vine a despertar leones” (Milei, 12 de septiembre de 2021). La forclusión a la que obliga la severidad de este ideal inalcanzable (sobre todo por las condiciones objetivas de precarización y pauperización progresiva de las condiciones materiales de vida)  retorna, también, como “deseo inconsciente de desastre, de catástrofe” (Adorno, 2021, p. 20). Luego de la catástrofe, los leones podrán recuperar aquel poder que la casta les impidió poseer y que Milei, de modo mesiánico, prometió devolver: “No te quiero pedir tu voto para que me des el poder a mí. Te lo quiero pedir para poder devolvértelo a vos. Para que puedas ser el arquitecto de tu propio destino” (Milei, 7 de agosto de 2023). </w:t>
      </w:r>
    </w:p>
    <w:p w14:paraId="0000002B"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Comunidades </w:t>
      </w:r>
      <w:proofErr w:type="spellStart"/>
      <w:r>
        <w:rPr>
          <w:rFonts w:ascii="Times New Roman" w:eastAsia="Times New Roman" w:hAnsi="Times New Roman" w:cs="Times New Roman"/>
          <w:b/>
          <w:sz w:val="24"/>
          <w:szCs w:val="24"/>
        </w:rPr>
        <w:t>anticomunitarias</w:t>
      </w:r>
      <w:proofErr w:type="spellEnd"/>
    </w:p>
    <w:p w14:paraId="0000002C"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tipo de comunidad es, entonces, la que construye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Pues bien, es una comunidad que, paradójicamente, se anula a sí misma. Una comunidad sin sociedad, si algo así es posible. La comunidad del resentimiento, constituida en torno a la imposibilidad de asir el ideal del sujeto trascendental de la acumulación y su retorno en la amenaza de una casta diabólica, se consolida sobre un lazo autodestructivo. En términos de Toscano (2021), es plausible interpretar la promesa que propone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como una “proyección invertida y fóbica de un anhelo utópico” (p. 20; la traducción es propia). El deseo de transformación que podría emerger de la </w:t>
      </w:r>
      <w:r>
        <w:rPr>
          <w:rFonts w:ascii="Times New Roman" w:eastAsia="Times New Roman" w:hAnsi="Times New Roman" w:cs="Times New Roman"/>
          <w:sz w:val="24"/>
          <w:szCs w:val="24"/>
        </w:rPr>
        <w:lastRenderedPageBreak/>
        <w:t xml:space="preserve">disconformidad con una situación coyuntural determinada es capturado e </w:t>
      </w:r>
      <w:r>
        <w:rPr>
          <w:rFonts w:ascii="Times New Roman" w:eastAsia="Times New Roman" w:hAnsi="Times New Roman" w:cs="Times New Roman"/>
          <w:i/>
          <w:sz w:val="24"/>
          <w:szCs w:val="24"/>
        </w:rPr>
        <w:t xml:space="preserve">invertido </w:t>
      </w:r>
      <w:r>
        <w:rPr>
          <w:rFonts w:ascii="Times New Roman" w:eastAsia="Times New Roman" w:hAnsi="Times New Roman" w:cs="Times New Roman"/>
          <w:sz w:val="24"/>
          <w:szCs w:val="24"/>
        </w:rPr>
        <w:t>como deseo de desastre, de aniquilación de lo existente en aras de la construcción de un orden radicalmente nuevo, que garantice la inexistencia de aquella otredad impura y deformadora que representa la casta.</w:t>
      </w:r>
    </w:p>
    <w:p w14:paraId="0000002D"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nueva comunidad de sujetos omnipotentes, el capital admite su libre despliegue. Monadas chocan contra monadas. Aún el más desaventajado tendrá la oportunidad de entrar en la competencia, posibilitada por la “venta de órganos” o de “niños”. Todo es plausible de ser capturado bajo la forma mercancía en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de una acumulación asegurada, de la competencia de los sujetos trascendentales unos con otros. No obstante, la consecuencia de esta catástrofe es brutal. Por dos motivos centrales.</w:t>
      </w:r>
    </w:p>
    <w:p w14:paraId="0000002E"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primera instancia, porque la idea de libertad encarnada en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es un tipo de </w:t>
      </w:r>
      <w:r>
        <w:rPr>
          <w:rFonts w:ascii="Times New Roman" w:eastAsia="Times New Roman" w:hAnsi="Times New Roman" w:cs="Times New Roman"/>
          <w:i/>
          <w:sz w:val="24"/>
          <w:szCs w:val="24"/>
        </w:rPr>
        <w:t>libertad absoluta</w:t>
      </w:r>
      <w:r>
        <w:rPr>
          <w:rFonts w:ascii="Times New Roman" w:eastAsia="Times New Roman" w:hAnsi="Times New Roman" w:cs="Times New Roman"/>
          <w:sz w:val="24"/>
          <w:szCs w:val="24"/>
        </w:rPr>
        <w:t xml:space="preserve">. En el análisis del terror jacobino de la Revolución Francesa, Hegel leyó la extrapolación práctica de un tipo de ideal que pretendía barrer con todo lo instituido históricamente al momento en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de la fundación de un mundo nuevo. El problema comenzó cuando ninguna objetivación política posrevolucionaria era percibida como semejante al ideal insurreccional. Lo que persiste a partir de allí es “la furia del desaparecer” (Hegel, 2022, p. 687), a saber: la imposición violenta de una universalidad homogénea que barre con toda singularidad diferencial que era concebida como obstáculo para la realización del ideal. En un mismo sentido,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pretende la imposición de una libertad total de las mónadas y la erradicación de todos los elementos que resulten perturbadores para el sueño libertario de la competencia.</w:t>
      </w:r>
    </w:p>
    <w:p w14:paraId="0000002F"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segunda instancia, porque el estado de competencia que se abre una vez librado el sujeto trascendental de la acumulación a su suerte es un estado de conflicto aniquilador. Un mundo sin sociedad, como lo soñó alguna vez Margaret Thatcher al pronunciar que “la sociedad no existe”. Allí, todo interés y voluntad remiten al ámbito privado. Así como el ámbito privado se eleva como interés de todos: no hay otra voluntad, otra máxima que no sea la competencia en función de la acumulación. En este marco, es comprensible el marketing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de las grandes corporaciones internacionales desde el Estado: </w:t>
      </w:r>
      <w:proofErr w:type="spellStart"/>
      <w:r>
        <w:rPr>
          <w:rFonts w:ascii="Times New Roman" w:eastAsia="Times New Roman" w:hAnsi="Times New Roman" w:cs="Times New Roman"/>
          <w:sz w:val="24"/>
          <w:szCs w:val="24"/>
        </w:rPr>
        <w:t>Starlink</w:t>
      </w:r>
      <w:proofErr w:type="spellEnd"/>
      <w:r>
        <w:rPr>
          <w:rFonts w:ascii="Times New Roman" w:eastAsia="Times New Roman" w:hAnsi="Times New Roman" w:cs="Times New Roman"/>
          <w:sz w:val="24"/>
          <w:szCs w:val="24"/>
        </w:rPr>
        <w:t xml:space="preserve">, Open AI, Google, etc. Es que, si lo que se prepara es una sociedad donde todo quede al libre arbitrio de la acumulación, no hay otro efecto que el </w:t>
      </w:r>
      <w:proofErr w:type="spellStart"/>
      <w:r>
        <w:rPr>
          <w:rFonts w:ascii="Times New Roman" w:eastAsia="Times New Roman" w:hAnsi="Times New Roman" w:cs="Times New Roman"/>
          <w:i/>
          <w:sz w:val="24"/>
          <w:szCs w:val="24"/>
        </w:rPr>
        <w:t>bellum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omnium</w:t>
      </w:r>
      <w:proofErr w:type="spellEnd"/>
      <w:r>
        <w:rPr>
          <w:rFonts w:ascii="Times New Roman" w:eastAsia="Times New Roman" w:hAnsi="Times New Roman" w:cs="Times New Roman"/>
          <w:i/>
          <w:sz w:val="24"/>
          <w:szCs w:val="24"/>
        </w:rPr>
        <w:t xml:space="preserve"> contra omnes</w:t>
      </w:r>
      <w:r>
        <w:rPr>
          <w:rFonts w:ascii="Times New Roman" w:eastAsia="Times New Roman" w:hAnsi="Times New Roman" w:cs="Times New Roman"/>
          <w:sz w:val="24"/>
          <w:szCs w:val="24"/>
        </w:rPr>
        <w:t xml:space="preserve">. </w:t>
      </w:r>
    </w:p>
    <w:p w14:paraId="00000030"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devenir de esta utopía invertida puede leerse en dos resultados posibles según su propia lógica interna. Primero, tal como lo enunció también Hegel, un mundo cuyo núcleo regulador sea la propiedad privada deja a las autoconciencias en un extrañamiento absoluto que las descarría a la destrucción. En palabras de Hegel, “se agitan con lujuria salvaje unas contra otras, furiosa y destructivamente” (Hegel, 2022, p. 571). Segundo, la libre disposición de cada quien a sus propios medios de supervivencia da inmediata ventaja a los que llevan la ventaja en un capitalismo cada vez más desigual (</w:t>
      </w:r>
      <w:proofErr w:type="spellStart"/>
      <w:r>
        <w:rPr>
          <w:rFonts w:ascii="Times New Roman" w:eastAsia="Times New Roman" w:hAnsi="Times New Roman" w:cs="Times New Roman"/>
          <w:sz w:val="24"/>
          <w:szCs w:val="24"/>
        </w:rPr>
        <w:t>Piketty</w:t>
      </w:r>
      <w:proofErr w:type="spellEnd"/>
      <w:r>
        <w:rPr>
          <w:rFonts w:ascii="Times New Roman" w:eastAsia="Times New Roman" w:hAnsi="Times New Roman" w:cs="Times New Roman"/>
          <w:sz w:val="24"/>
          <w:szCs w:val="24"/>
        </w:rPr>
        <w:t xml:space="preserve">, 2014). Se hace inevitable, entonces, la imposición de un cierto darwinismo social, donde quien tiene la supervivencia garantizada es el más fuerte. Y, aquí, el más fuerte es el más rico. Esta lógica se traslada también a las relaciones internacionales, lo que implica un corolario antinacional y colonial. De ser regida bajo está lógica, la relación entre los capitales nacionales y los grandes capitales internacionales será de dominación o anulación de lo nacional. En tal sentido, definir a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como nacionalista es un oxímoron frente a la lógica de un capitalismo colonial que prima en su interior. </w:t>
      </w:r>
    </w:p>
    <w:p w14:paraId="00000031"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Reflexiones finales</w:t>
      </w:r>
    </w:p>
    <w:p w14:paraId="00000032" w14:textId="77777777" w:rsidR="00237FA9"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asalto a lo humano corre por varios frentes.. La relación del humano consigo mismo, con sus otros humanos y con la naturaleza externa parece estar en jaque. En este artículo, quisimos exponer de qué manera la crisis de lo humano se presenta en las prácticas sociopsicológicas de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Con este propósito, enmarcamos el problema mediante el concepto de resentimiento, lo que nos permite anclar a esta ideología en un proceso de larga duración que explica la supervivencia del capitalismo mediante sus crisis. En concreto, mediante un mecanismo ideológico que convierte a la impotencia provocada por las mutaciones del capitalismo financiero y digital en rabia contra un chivo expiatorio que es percibido como el responsable de los malestares vividos. Luego, analizamos cómo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encarna el resentimiento a través de dos figuras contrapuestas, cuya particularidad reside en su no-humanidad. Tanto el sujeto trascendental de la acumulación capitalista, cuyo deber establece como mandato la acumulación de capital (al modo de una máquina o un súper hombre de las finanzas), como la impureza de la casta, que es depositaria de las deformaciones que obstruyen la realización del ideal de acumulación, responden a una antinomia inhumana. En efecto, la ideología </w:t>
      </w:r>
      <w:proofErr w:type="spellStart"/>
      <w:r>
        <w:rPr>
          <w:rFonts w:ascii="Times New Roman" w:eastAsia="Times New Roman" w:hAnsi="Times New Roman" w:cs="Times New Roman"/>
          <w:sz w:val="24"/>
          <w:szCs w:val="24"/>
        </w:rPr>
        <w:t>mileísta</w:t>
      </w:r>
      <w:proofErr w:type="spellEnd"/>
      <w:r>
        <w:rPr>
          <w:rFonts w:ascii="Times New Roman" w:eastAsia="Times New Roman" w:hAnsi="Times New Roman" w:cs="Times New Roman"/>
          <w:sz w:val="24"/>
          <w:szCs w:val="24"/>
        </w:rPr>
        <w:t xml:space="preserve"> exhibe sintomáticamente la crisis de lo humano, en un tiempo en el que parece imposible imaginar por fuera de la mercantilización, la manipulación experimental del mundo y aquello que parece obstaculizarlo. Aún más, analizamos brevemente las pretensiones de comunidad de esta ideología concreta. Vimos allí que el lazo procurado era uno autodestructivo, en tanto anulaba la </w:t>
      </w:r>
      <w:proofErr w:type="spellStart"/>
      <w:r>
        <w:rPr>
          <w:rFonts w:ascii="Times New Roman" w:eastAsia="Times New Roman" w:hAnsi="Times New Roman" w:cs="Times New Roman"/>
          <w:sz w:val="24"/>
          <w:szCs w:val="24"/>
        </w:rPr>
        <w:t>socialidad</w:t>
      </w:r>
      <w:proofErr w:type="spellEnd"/>
      <w:r>
        <w:rPr>
          <w:rFonts w:ascii="Times New Roman" w:eastAsia="Times New Roman" w:hAnsi="Times New Roman" w:cs="Times New Roman"/>
          <w:sz w:val="24"/>
          <w:szCs w:val="24"/>
        </w:rPr>
        <w:t xml:space="preserve"> misma en aras de la competencia absoluta de las mónadas individuales para acumular. El resultado continúa con la forma interna de esta ideología: la destrucción del mundo o su conversión en un estado de guerra de todos contra todos. </w:t>
      </w:r>
    </w:p>
    <w:p w14:paraId="00000033" w14:textId="77777777" w:rsidR="00237FA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 bibliográficas</w:t>
      </w:r>
    </w:p>
    <w:p w14:paraId="00000034" w14:textId="77777777" w:rsidR="00237FA9" w:rsidRDefault="00000000">
      <w:pPr>
        <w:ind w:left="720" w:hanging="72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Adorno, Theodor (2009). </w:t>
      </w:r>
      <w:r>
        <w:rPr>
          <w:rFonts w:ascii="Times New Roman" w:eastAsia="Times New Roman" w:hAnsi="Times New Roman" w:cs="Times New Roman"/>
          <w:i/>
          <w:sz w:val="24"/>
          <w:szCs w:val="24"/>
        </w:rPr>
        <w:t>Escritos sociológicos II. Vol. 1.</w:t>
      </w:r>
      <w:r>
        <w:rPr>
          <w:rFonts w:ascii="Times New Roman" w:eastAsia="Times New Roman" w:hAnsi="Times New Roman" w:cs="Times New Roman"/>
          <w:sz w:val="24"/>
          <w:szCs w:val="24"/>
        </w:rPr>
        <w:t xml:space="preserve"> Akal.</w:t>
      </w:r>
    </w:p>
    <w:p w14:paraId="00000035"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Adorno, Theodor (2021). </w:t>
      </w:r>
      <w:r>
        <w:rPr>
          <w:rFonts w:ascii="Times New Roman" w:eastAsia="Times New Roman" w:hAnsi="Times New Roman" w:cs="Times New Roman"/>
          <w:i/>
          <w:sz w:val="24"/>
          <w:szCs w:val="24"/>
        </w:rPr>
        <w:t>Rasgos del nuevo radicalismo de derecha</w:t>
      </w:r>
      <w:r>
        <w:rPr>
          <w:rFonts w:ascii="Times New Roman" w:eastAsia="Times New Roman" w:hAnsi="Times New Roman" w:cs="Times New Roman"/>
          <w:sz w:val="24"/>
          <w:szCs w:val="24"/>
        </w:rPr>
        <w:t>. Taurus.</w:t>
      </w:r>
    </w:p>
    <w:p w14:paraId="00000036"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Adorno, Theodor y Horkheimer, Max (2020). </w:t>
      </w:r>
      <w:r>
        <w:rPr>
          <w:rFonts w:ascii="Times New Roman" w:eastAsia="Times New Roman" w:hAnsi="Times New Roman" w:cs="Times New Roman"/>
          <w:i/>
          <w:sz w:val="24"/>
          <w:szCs w:val="24"/>
        </w:rPr>
        <w:t>Dialéctica de la Ilustración</w:t>
      </w:r>
      <w:r>
        <w:rPr>
          <w:rFonts w:ascii="Times New Roman" w:eastAsia="Times New Roman" w:hAnsi="Times New Roman" w:cs="Times New Roman"/>
          <w:sz w:val="24"/>
          <w:szCs w:val="24"/>
        </w:rPr>
        <w:t>. Akal</w:t>
      </w:r>
    </w:p>
    <w:p w14:paraId="00000037" w14:textId="77777777" w:rsidR="00237FA9" w:rsidRDefault="00000000">
      <w:pPr>
        <w:ind w:left="720" w:hanging="720"/>
        <w:jc w:val="both"/>
        <w:rPr>
          <w:rFonts w:ascii="Times New Roman" w:eastAsia="Times New Roman" w:hAnsi="Times New Roman" w:cs="Times New Roman"/>
          <w:sz w:val="28"/>
          <w:szCs w:val="28"/>
          <w:shd w:val="clear" w:color="auto" w:fill="F6B26B"/>
        </w:rPr>
      </w:pPr>
      <w:r>
        <w:rPr>
          <w:rFonts w:ascii="Times New Roman" w:eastAsia="Times New Roman" w:hAnsi="Times New Roman" w:cs="Times New Roman"/>
          <w:color w:val="222222"/>
          <w:sz w:val="24"/>
          <w:szCs w:val="24"/>
          <w:highlight w:val="white"/>
        </w:rPr>
        <w:t xml:space="preserve">Butler, Judith (2017) </w:t>
      </w:r>
      <w:r>
        <w:rPr>
          <w:rFonts w:ascii="Times New Roman" w:eastAsia="Times New Roman" w:hAnsi="Times New Roman" w:cs="Times New Roman"/>
          <w:i/>
          <w:color w:val="222222"/>
          <w:sz w:val="24"/>
          <w:szCs w:val="24"/>
          <w:highlight w:val="white"/>
        </w:rPr>
        <w:t>Cuerpos aliados y lucha política. Hacia una teoría performativa de la asamblea</w:t>
      </w:r>
      <w:r>
        <w:rPr>
          <w:rFonts w:ascii="Times New Roman" w:eastAsia="Times New Roman" w:hAnsi="Times New Roman" w:cs="Times New Roman"/>
          <w:color w:val="222222"/>
          <w:sz w:val="24"/>
          <w:szCs w:val="24"/>
          <w:highlight w:val="white"/>
        </w:rPr>
        <w:t>. Paidós.</w:t>
      </w:r>
    </w:p>
    <w:p w14:paraId="00000038"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Catanzaro, Gisela (2021). </w:t>
      </w:r>
      <w:proofErr w:type="spellStart"/>
      <w:r>
        <w:rPr>
          <w:rFonts w:ascii="Times New Roman" w:eastAsia="Times New Roman" w:hAnsi="Times New Roman" w:cs="Times New Roman"/>
          <w:i/>
          <w:sz w:val="24"/>
          <w:szCs w:val="24"/>
        </w:rPr>
        <w:t>Espectrología</w:t>
      </w:r>
      <w:proofErr w:type="spellEnd"/>
      <w:r>
        <w:rPr>
          <w:rFonts w:ascii="Times New Roman" w:eastAsia="Times New Roman" w:hAnsi="Times New Roman" w:cs="Times New Roman"/>
          <w:i/>
          <w:sz w:val="24"/>
          <w:szCs w:val="24"/>
        </w:rPr>
        <w:t xml:space="preserve"> de la derecha</w:t>
      </w:r>
      <w:r>
        <w:rPr>
          <w:rFonts w:ascii="Times New Roman" w:eastAsia="Times New Roman" w:hAnsi="Times New Roman" w:cs="Times New Roman"/>
          <w:sz w:val="24"/>
          <w:szCs w:val="24"/>
        </w:rPr>
        <w:t>. Cuarenta Ríos.</w:t>
      </w:r>
    </w:p>
    <w:p w14:paraId="00000039"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Catanzaro, Gisela y Ezequiel, Ipar (</w:t>
      </w:r>
      <w:proofErr w:type="spellStart"/>
      <w:r>
        <w:rPr>
          <w:rFonts w:ascii="Times New Roman" w:eastAsia="Times New Roman" w:hAnsi="Times New Roman" w:cs="Times New Roman"/>
          <w:sz w:val="24"/>
          <w:szCs w:val="24"/>
        </w:rPr>
        <w:t>comps</w:t>
      </w:r>
      <w:proofErr w:type="spellEnd"/>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 xml:space="preserve">La subjetividad </w:t>
      </w:r>
      <w:proofErr w:type="spellStart"/>
      <w:r>
        <w:rPr>
          <w:rFonts w:ascii="Times New Roman" w:eastAsia="Times New Roman" w:hAnsi="Times New Roman" w:cs="Times New Roman"/>
          <w:i/>
          <w:sz w:val="24"/>
          <w:szCs w:val="24"/>
        </w:rPr>
        <w:t>anti-democrática</w:t>
      </w:r>
      <w:proofErr w:type="spellEnd"/>
      <w:r>
        <w:rPr>
          <w:rFonts w:ascii="Times New Roman" w:eastAsia="Times New Roman" w:hAnsi="Times New Roman" w:cs="Times New Roman"/>
          <w:i/>
          <w:sz w:val="24"/>
          <w:szCs w:val="24"/>
        </w:rPr>
        <w:t>. Elementos para la crítica de las ideologías contemporáneas</w:t>
      </w:r>
      <w:r>
        <w:rPr>
          <w:rFonts w:ascii="Times New Roman" w:eastAsia="Times New Roman" w:hAnsi="Times New Roman" w:cs="Times New Roman"/>
          <w:sz w:val="24"/>
          <w:szCs w:val="24"/>
        </w:rPr>
        <w:t>. IIGG-CLACSO.</w:t>
      </w:r>
    </w:p>
    <w:p w14:paraId="0000003A"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Catanzaro, Gisela y </w:t>
      </w:r>
      <w:proofErr w:type="spellStart"/>
      <w:r>
        <w:rPr>
          <w:rFonts w:ascii="Times New Roman" w:eastAsia="Times New Roman" w:hAnsi="Times New Roman" w:cs="Times New Roman"/>
          <w:sz w:val="24"/>
          <w:szCs w:val="24"/>
        </w:rPr>
        <w:t>Stegmayer</w:t>
      </w:r>
      <w:proofErr w:type="spellEnd"/>
      <w:r>
        <w:rPr>
          <w:rFonts w:ascii="Times New Roman" w:eastAsia="Times New Roman" w:hAnsi="Times New Roman" w:cs="Times New Roman"/>
          <w:sz w:val="24"/>
          <w:szCs w:val="24"/>
        </w:rPr>
        <w:t xml:space="preserve">, María (en prensa). Neoliberalismo y sacrificio: entre la moralización y la motosierra. </w:t>
      </w:r>
      <w:r>
        <w:rPr>
          <w:rFonts w:ascii="Times New Roman" w:eastAsia="Times New Roman" w:hAnsi="Times New Roman" w:cs="Times New Roman"/>
          <w:i/>
          <w:sz w:val="24"/>
          <w:szCs w:val="24"/>
        </w:rPr>
        <w:t>Orillera</w:t>
      </w:r>
      <w:r>
        <w:rPr>
          <w:rFonts w:ascii="Times New Roman" w:eastAsia="Times New Roman" w:hAnsi="Times New Roman" w:cs="Times New Roman"/>
          <w:sz w:val="24"/>
          <w:szCs w:val="24"/>
        </w:rPr>
        <w:t>.</w:t>
      </w:r>
    </w:p>
    <w:p w14:paraId="0000003B"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Freud, Sigmund (1991 [1911]). Puntualizaciones psicoanalíticas sobre un caso de paranoia (</w:t>
      </w:r>
      <w:proofErr w:type="spellStart"/>
      <w:r>
        <w:rPr>
          <w:rFonts w:ascii="Times New Roman" w:eastAsia="Times New Roman" w:hAnsi="Times New Roman" w:cs="Times New Roman"/>
          <w:i/>
          <w:sz w:val="24"/>
          <w:szCs w:val="24"/>
        </w:rPr>
        <w:t>Dementia</w:t>
      </w:r>
      <w:proofErr w:type="spellEnd"/>
      <w:r>
        <w:rPr>
          <w:rFonts w:ascii="Times New Roman" w:eastAsia="Times New Roman" w:hAnsi="Times New Roman" w:cs="Times New Roman"/>
          <w:i/>
          <w:sz w:val="24"/>
          <w:szCs w:val="24"/>
        </w:rPr>
        <w:t xml:space="preserve"> paranoides</w:t>
      </w:r>
      <w:r>
        <w:rPr>
          <w:rFonts w:ascii="Times New Roman" w:eastAsia="Times New Roman" w:hAnsi="Times New Roman" w:cs="Times New Roman"/>
          <w:sz w:val="24"/>
          <w:szCs w:val="24"/>
        </w:rPr>
        <w:t xml:space="preserve">) descrito autobiográficamente. En </w:t>
      </w:r>
      <w:r>
        <w:rPr>
          <w:rFonts w:ascii="Times New Roman" w:eastAsia="Times New Roman" w:hAnsi="Times New Roman" w:cs="Times New Roman"/>
          <w:i/>
          <w:sz w:val="24"/>
          <w:szCs w:val="24"/>
        </w:rPr>
        <w:t>Tomo XII</w:t>
      </w:r>
      <w:r>
        <w:rPr>
          <w:rFonts w:ascii="Times New Roman" w:eastAsia="Times New Roman" w:hAnsi="Times New Roman" w:cs="Times New Roman"/>
          <w:sz w:val="24"/>
          <w:szCs w:val="24"/>
        </w:rPr>
        <w:t>. Amorrortu.</w:t>
      </w:r>
    </w:p>
    <w:p w14:paraId="0000003C" w14:textId="77777777" w:rsidR="00237FA9" w:rsidRPr="005B21BA" w:rsidRDefault="00000000">
      <w:pPr>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Freud, Sigmund (1992 [1914]). Introducción del narcisismo. En </w:t>
      </w:r>
      <w:r>
        <w:rPr>
          <w:rFonts w:ascii="Times New Roman" w:eastAsia="Times New Roman" w:hAnsi="Times New Roman" w:cs="Times New Roman"/>
          <w:i/>
          <w:sz w:val="24"/>
          <w:szCs w:val="24"/>
        </w:rPr>
        <w:t>Tomo XIV</w:t>
      </w:r>
      <w:r>
        <w:rPr>
          <w:rFonts w:ascii="Times New Roman" w:eastAsia="Times New Roman" w:hAnsi="Times New Roman" w:cs="Times New Roman"/>
          <w:sz w:val="24"/>
          <w:szCs w:val="24"/>
        </w:rPr>
        <w:t xml:space="preserve">. </w:t>
      </w:r>
      <w:proofErr w:type="spellStart"/>
      <w:r w:rsidRPr="005B21BA">
        <w:rPr>
          <w:rFonts w:ascii="Times New Roman" w:eastAsia="Times New Roman" w:hAnsi="Times New Roman" w:cs="Times New Roman"/>
          <w:sz w:val="24"/>
          <w:szCs w:val="24"/>
          <w:lang w:val="en-US"/>
        </w:rPr>
        <w:t>Amorrortu</w:t>
      </w:r>
      <w:proofErr w:type="spellEnd"/>
      <w:r w:rsidRPr="005B21BA">
        <w:rPr>
          <w:rFonts w:ascii="Times New Roman" w:eastAsia="Times New Roman" w:hAnsi="Times New Roman" w:cs="Times New Roman"/>
          <w:sz w:val="24"/>
          <w:szCs w:val="24"/>
          <w:lang w:val="en-US"/>
        </w:rPr>
        <w:t>.</w:t>
      </w:r>
    </w:p>
    <w:p w14:paraId="0000003D" w14:textId="77777777" w:rsidR="00237FA9" w:rsidRPr="005B21BA" w:rsidRDefault="00000000">
      <w:pPr>
        <w:ind w:left="720" w:hanging="720"/>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sz w:val="24"/>
          <w:szCs w:val="24"/>
          <w:lang w:val="en-US"/>
        </w:rPr>
        <w:t xml:space="preserve">Fromm, Erich (2019 [1937]). On the Feeling of Powerlessness. </w:t>
      </w:r>
      <w:r w:rsidRPr="005B21BA">
        <w:rPr>
          <w:rFonts w:ascii="Times New Roman" w:eastAsia="Times New Roman" w:hAnsi="Times New Roman" w:cs="Times New Roman"/>
          <w:i/>
          <w:sz w:val="24"/>
          <w:szCs w:val="24"/>
          <w:lang w:val="en-US"/>
        </w:rPr>
        <w:t>Psychoanalysis and History</w:t>
      </w:r>
      <w:r w:rsidRPr="005B21BA">
        <w:rPr>
          <w:rFonts w:ascii="Times New Roman" w:eastAsia="Times New Roman" w:hAnsi="Times New Roman" w:cs="Times New Roman"/>
          <w:sz w:val="24"/>
          <w:szCs w:val="24"/>
          <w:lang w:val="en-US"/>
        </w:rPr>
        <w:t>, 21 (3), 311-329.</w:t>
      </w:r>
    </w:p>
    <w:p w14:paraId="0000003E" w14:textId="77777777" w:rsidR="00237FA9" w:rsidRPr="005B21BA" w:rsidRDefault="00000000">
      <w:pPr>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González, Horacio (2021). </w:t>
      </w:r>
      <w:r>
        <w:rPr>
          <w:rFonts w:ascii="Times New Roman" w:eastAsia="Times New Roman" w:hAnsi="Times New Roman" w:cs="Times New Roman"/>
          <w:i/>
          <w:sz w:val="24"/>
          <w:szCs w:val="24"/>
        </w:rPr>
        <w:t>Humanismo, impugnación y resistencia</w:t>
      </w:r>
      <w:r>
        <w:rPr>
          <w:rFonts w:ascii="Times New Roman" w:eastAsia="Times New Roman" w:hAnsi="Times New Roman" w:cs="Times New Roman"/>
          <w:sz w:val="24"/>
          <w:szCs w:val="24"/>
        </w:rPr>
        <w:t xml:space="preserve">. </w:t>
      </w:r>
      <w:proofErr w:type="spellStart"/>
      <w:r w:rsidRPr="005B21BA">
        <w:rPr>
          <w:rFonts w:ascii="Times New Roman" w:eastAsia="Times New Roman" w:hAnsi="Times New Roman" w:cs="Times New Roman"/>
          <w:sz w:val="24"/>
          <w:szCs w:val="24"/>
          <w:lang w:val="en-US"/>
        </w:rPr>
        <w:t>Colihue</w:t>
      </w:r>
      <w:proofErr w:type="spellEnd"/>
      <w:r w:rsidRPr="005B21BA">
        <w:rPr>
          <w:rFonts w:ascii="Times New Roman" w:eastAsia="Times New Roman" w:hAnsi="Times New Roman" w:cs="Times New Roman"/>
          <w:sz w:val="24"/>
          <w:szCs w:val="24"/>
          <w:lang w:val="en-US"/>
        </w:rPr>
        <w:t>.</w:t>
      </w:r>
    </w:p>
    <w:p w14:paraId="0000003F" w14:textId="77777777" w:rsidR="00237FA9" w:rsidRDefault="00000000">
      <w:pPr>
        <w:ind w:left="720" w:hanging="720"/>
        <w:jc w:val="both"/>
        <w:rPr>
          <w:rFonts w:ascii="Times New Roman" w:eastAsia="Times New Roman" w:hAnsi="Times New Roman" w:cs="Times New Roman"/>
          <w:sz w:val="24"/>
          <w:szCs w:val="24"/>
        </w:rPr>
      </w:pPr>
      <w:r w:rsidRPr="005B21BA">
        <w:rPr>
          <w:rFonts w:ascii="Times New Roman" w:eastAsia="Times New Roman" w:hAnsi="Times New Roman" w:cs="Times New Roman"/>
          <w:sz w:val="24"/>
          <w:szCs w:val="24"/>
          <w:lang w:val="en-US"/>
        </w:rPr>
        <w:t xml:space="preserve">Hegel, Georg Wilhelm Friedrich (2022). </w:t>
      </w:r>
      <w:r>
        <w:rPr>
          <w:rFonts w:ascii="Times New Roman" w:eastAsia="Times New Roman" w:hAnsi="Times New Roman" w:cs="Times New Roman"/>
          <w:i/>
          <w:sz w:val="24"/>
          <w:szCs w:val="24"/>
        </w:rPr>
        <w:t>Fenomenología del espíritu</w:t>
      </w:r>
      <w:r>
        <w:rPr>
          <w:rFonts w:ascii="Times New Roman" w:eastAsia="Times New Roman" w:hAnsi="Times New Roman" w:cs="Times New Roman"/>
          <w:sz w:val="24"/>
          <w:szCs w:val="24"/>
        </w:rPr>
        <w:t>. Abada.</w:t>
      </w:r>
    </w:p>
    <w:p w14:paraId="00000040" w14:textId="77777777" w:rsidR="00237FA9" w:rsidRDefault="0000000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Honneth</w:t>
      </w:r>
      <w:proofErr w:type="spellEnd"/>
      <w:r>
        <w:rPr>
          <w:rFonts w:ascii="Times New Roman" w:eastAsia="Times New Roman" w:hAnsi="Times New Roman" w:cs="Times New Roman"/>
          <w:sz w:val="24"/>
          <w:szCs w:val="24"/>
        </w:rPr>
        <w:t xml:space="preserve">, Axel (2009). </w:t>
      </w:r>
      <w:r>
        <w:rPr>
          <w:rFonts w:ascii="Times New Roman" w:eastAsia="Times New Roman" w:hAnsi="Times New Roman" w:cs="Times New Roman"/>
          <w:i/>
          <w:sz w:val="24"/>
          <w:szCs w:val="24"/>
        </w:rPr>
        <w:t>Crítica del agravio moral</w:t>
      </w:r>
      <w:r>
        <w:rPr>
          <w:rFonts w:ascii="Times New Roman" w:eastAsia="Times New Roman" w:hAnsi="Times New Roman" w:cs="Times New Roman"/>
          <w:sz w:val="24"/>
          <w:szCs w:val="24"/>
        </w:rPr>
        <w:t>. Fondo de Cultura Económica.</w:t>
      </w:r>
    </w:p>
    <w:p w14:paraId="00000041" w14:textId="77777777" w:rsidR="00237FA9" w:rsidRPr="005B21BA" w:rsidRDefault="00000000">
      <w:pPr>
        <w:ind w:left="720" w:hanging="720"/>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sz w:val="24"/>
          <w:szCs w:val="24"/>
          <w:lang w:val="en-US"/>
        </w:rPr>
        <w:lastRenderedPageBreak/>
        <w:t xml:space="preserve">Jaeggi, Rahel (2022). Modes of Regression: The Case of Ressentiment. </w:t>
      </w:r>
      <w:r w:rsidRPr="005B21BA">
        <w:rPr>
          <w:rFonts w:ascii="Times New Roman" w:eastAsia="Times New Roman" w:hAnsi="Times New Roman" w:cs="Times New Roman"/>
          <w:i/>
          <w:sz w:val="24"/>
          <w:szCs w:val="24"/>
          <w:lang w:val="en-US"/>
        </w:rPr>
        <w:t>Critical Times</w:t>
      </w:r>
      <w:r w:rsidRPr="005B21BA">
        <w:rPr>
          <w:rFonts w:ascii="Times New Roman" w:eastAsia="Times New Roman" w:hAnsi="Times New Roman" w:cs="Times New Roman"/>
          <w:sz w:val="24"/>
          <w:szCs w:val="24"/>
          <w:lang w:val="en-US"/>
        </w:rPr>
        <w:t>, 5 (3), 501–537.</w:t>
      </w:r>
    </w:p>
    <w:p w14:paraId="00000042" w14:textId="77777777" w:rsidR="00237FA9" w:rsidRDefault="00000000">
      <w:pPr>
        <w:ind w:left="720" w:hanging="720"/>
        <w:jc w:val="both"/>
        <w:rPr>
          <w:rFonts w:ascii="Times New Roman" w:eastAsia="Times New Roman" w:hAnsi="Times New Roman" w:cs="Times New Roman"/>
          <w:sz w:val="24"/>
          <w:szCs w:val="24"/>
        </w:rPr>
      </w:pPr>
      <w:r w:rsidRPr="005B21BA">
        <w:rPr>
          <w:rFonts w:ascii="Times New Roman" w:eastAsia="Times New Roman" w:hAnsi="Times New Roman" w:cs="Times New Roman"/>
          <w:sz w:val="24"/>
          <w:szCs w:val="24"/>
          <w:lang w:val="en-US"/>
        </w:rPr>
        <w:t xml:space="preserve">Johnston, Adrian (2024). </w:t>
      </w:r>
      <w:r w:rsidRPr="005B21BA">
        <w:rPr>
          <w:rFonts w:ascii="Times New Roman" w:eastAsia="Times New Roman" w:hAnsi="Times New Roman" w:cs="Times New Roman"/>
          <w:i/>
          <w:sz w:val="24"/>
          <w:szCs w:val="24"/>
          <w:lang w:val="en-US"/>
        </w:rPr>
        <w:t>Infinite Greed. The Inhuman Selfishness of Capital</w:t>
      </w:r>
      <w:r w:rsidRPr="005B21B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Columbia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w:t>
      </w:r>
    </w:p>
    <w:p w14:paraId="00000043"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 Immanuel (2005 [1788]). </w:t>
      </w:r>
      <w:r>
        <w:rPr>
          <w:rFonts w:ascii="Times New Roman" w:eastAsia="Times New Roman" w:hAnsi="Times New Roman" w:cs="Times New Roman"/>
          <w:i/>
          <w:sz w:val="24"/>
          <w:szCs w:val="24"/>
        </w:rPr>
        <w:t>Crítica de la razón práctica</w:t>
      </w:r>
      <w:r>
        <w:rPr>
          <w:rFonts w:ascii="Times New Roman" w:eastAsia="Times New Roman" w:hAnsi="Times New Roman" w:cs="Times New Roman"/>
          <w:sz w:val="24"/>
          <w:szCs w:val="24"/>
        </w:rPr>
        <w:t>. Fondo de Cultura Económica.</w:t>
      </w:r>
    </w:p>
    <w:p w14:paraId="00000044"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 Immanuel (2012 [1785]). </w:t>
      </w:r>
      <w:r>
        <w:rPr>
          <w:rFonts w:ascii="Times New Roman" w:eastAsia="Times New Roman" w:hAnsi="Times New Roman" w:cs="Times New Roman"/>
          <w:i/>
          <w:sz w:val="24"/>
          <w:szCs w:val="24"/>
        </w:rPr>
        <w:t>Fundamentación de la metafísica de las costumbres</w:t>
      </w:r>
      <w:r>
        <w:rPr>
          <w:rFonts w:ascii="Times New Roman" w:eastAsia="Times New Roman" w:hAnsi="Times New Roman" w:cs="Times New Roman"/>
          <w:sz w:val="24"/>
          <w:szCs w:val="24"/>
        </w:rPr>
        <w:t>. Alianza.</w:t>
      </w:r>
    </w:p>
    <w:p w14:paraId="00000045" w14:textId="77777777" w:rsidR="00237FA9" w:rsidRPr="005B21BA" w:rsidRDefault="00000000">
      <w:pPr>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Lacan, Jacques (2007 [1959-60]). </w:t>
      </w:r>
      <w:r>
        <w:rPr>
          <w:rFonts w:ascii="Times New Roman" w:eastAsia="Times New Roman" w:hAnsi="Times New Roman" w:cs="Times New Roman"/>
          <w:i/>
          <w:sz w:val="24"/>
          <w:szCs w:val="24"/>
        </w:rPr>
        <w:t>El seminario. Libro 7: la ética del psicoanálisis</w:t>
      </w:r>
      <w:r>
        <w:rPr>
          <w:rFonts w:ascii="Times New Roman" w:eastAsia="Times New Roman" w:hAnsi="Times New Roman" w:cs="Times New Roman"/>
          <w:sz w:val="24"/>
          <w:szCs w:val="24"/>
        </w:rPr>
        <w:t xml:space="preserve">. </w:t>
      </w:r>
      <w:proofErr w:type="spellStart"/>
      <w:r w:rsidRPr="005B21BA">
        <w:rPr>
          <w:rFonts w:ascii="Times New Roman" w:eastAsia="Times New Roman" w:hAnsi="Times New Roman" w:cs="Times New Roman"/>
          <w:sz w:val="24"/>
          <w:szCs w:val="24"/>
          <w:lang w:val="en-US"/>
        </w:rPr>
        <w:t>Paidós</w:t>
      </w:r>
      <w:proofErr w:type="spellEnd"/>
      <w:r w:rsidRPr="005B21BA">
        <w:rPr>
          <w:rFonts w:ascii="Times New Roman" w:eastAsia="Times New Roman" w:hAnsi="Times New Roman" w:cs="Times New Roman"/>
          <w:sz w:val="24"/>
          <w:szCs w:val="24"/>
          <w:lang w:val="en-US"/>
        </w:rPr>
        <w:t>.</w:t>
      </w:r>
    </w:p>
    <w:p w14:paraId="00000046" w14:textId="77777777" w:rsidR="00237FA9" w:rsidRPr="005B21BA" w:rsidRDefault="00000000">
      <w:pPr>
        <w:ind w:left="720" w:hanging="720"/>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sz w:val="24"/>
          <w:szCs w:val="24"/>
          <w:lang w:val="en-US"/>
        </w:rPr>
        <w:t xml:space="preserve">Löwenthal, Leo y Guterman, Norbert (2021 [1949]). </w:t>
      </w:r>
      <w:r w:rsidRPr="005B21BA">
        <w:rPr>
          <w:rFonts w:ascii="Times New Roman" w:eastAsia="Times New Roman" w:hAnsi="Times New Roman" w:cs="Times New Roman"/>
          <w:i/>
          <w:sz w:val="24"/>
          <w:szCs w:val="24"/>
          <w:lang w:val="en-US"/>
        </w:rPr>
        <w:t>Prophets of Deceit</w:t>
      </w:r>
      <w:r w:rsidRPr="005B21BA">
        <w:rPr>
          <w:rFonts w:ascii="Times New Roman" w:eastAsia="Times New Roman" w:hAnsi="Times New Roman" w:cs="Times New Roman"/>
          <w:sz w:val="24"/>
          <w:szCs w:val="24"/>
          <w:lang w:val="en-US"/>
        </w:rPr>
        <w:t>. Verso.</w:t>
      </w:r>
    </w:p>
    <w:p w14:paraId="00000047"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(1978). </w:t>
      </w:r>
      <w:r>
        <w:rPr>
          <w:rFonts w:ascii="Times New Roman" w:eastAsia="Times New Roman" w:hAnsi="Times New Roman" w:cs="Times New Roman"/>
          <w:i/>
          <w:sz w:val="24"/>
          <w:szCs w:val="24"/>
        </w:rPr>
        <w:t>Líneas fundamentales de la crítica de la economía política (</w:t>
      </w:r>
      <w:proofErr w:type="spellStart"/>
      <w:r>
        <w:rPr>
          <w:rFonts w:ascii="Times New Roman" w:eastAsia="Times New Roman" w:hAnsi="Times New Roman" w:cs="Times New Roman"/>
          <w:sz w:val="24"/>
          <w:szCs w:val="24"/>
        </w:rPr>
        <w:t>Grundrisse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.Grijalbo. </w:t>
      </w:r>
    </w:p>
    <w:p w14:paraId="00000048"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(2015 [1844]). Sobre la cuestión judía. En </w:t>
      </w:r>
      <w:r>
        <w:rPr>
          <w:rFonts w:ascii="Times New Roman" w:eastAsia="Times New Roman" w:hAnsi="Times New Roman" w:cs="Times New Roman"/>
          <w:i/>
          <w:sz w:val="24"/>
          <w:szCs w:val="24"/>
        </w:rPr>
        <w:t xml:space="preserve">Antología </w:t>
      </w:r>
      <w:r>
        <w:rPr>
          <w:rFonts w:ascii="Times New Roman" w:eastAsia="Times New Roman" w:hAnsi="Times New Roman" w:cs="Times New Roman"/>
          <w:sz w:val="24"/>
          <w:szCs w:val="24"/>
        </w:rPr>
        <w:t>(pp. 59-90). Siglo Veintiuno.</w:t>
      </w:r>
    </w:p>
    <w:p w14:paraId="00000049"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Milei, Javier (12 de septiembre de 2021). </w:t>
      </w:r>
      <w:r>
        <w:rPr>
          <w:rFonts w:ascii="Times New Roman" w:eastAsia="Times New Roman" w:hAnsi="Times New Roman" w:cs="Times New Roman"/>
          <w:i/>
          <w:sz w:val="24"/>
          <w:szCs w:val="24"/>
        </w:rPr>
        <w:t>Javier Milei, eufórico: "Yo no vine acá para guiar corderos, vine a despertar leones"</w:t>
      </w:r>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https://www.youtube.com/watch?v=T22BkS2tDls</w:t>
        </w:r>
      </w:hyperlink>
      <w:r>
        <w:rPr>
          <w:rFonts w:ascii="Times New Roman" w:eastAsia="Times New Roman" w:hAnsi="Times New Roman" w:cs="Times New Roman"/>
          <w:sz w:val="24"/>
          <w:szCs w:val="24"/>
        </w:rPr>
        <w:t xml:space="preserve"> </w:t>
      </w:r>
    </w:p>
    <w:p w14:paraId="0000004A"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Milei, Javier (27 de septiembre de 2021). </w:t>
      </w:r>
      <w:r>
        <w:rPr>
          <w:rFonts w:ascii="Times New Roman" w:eastAsia="Times New Roman" w:hAnsi="Times New Roman" w:cs="Times New Roman"/>
          <w:i/>
          <w:sz w:val="24"/>
          <w:szCs w:val="24"/>
        </w:rPr>
        <w:t xml:space="preserve">#15Preguntas que siempre quisiste hacerle a Javier Milei. </w:t>
      </w:r>
      <w:r>
        <w:rPr>
          <w:rFonts w:ascii="Times New Roman" w:eastAsia="Times New Roman" w:hAnsi="Times New Roman" w:cs="Times New Roman"/>
          <w:sz w:val="24"/>
          <w:szCs w:val="24"/>
        </w:rPr>
        <w:t xml:space="preserve">[Video].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https://www.youtube.com/watch?v=BuqWa3xCmjM</w:t>
        </w:r>
      </w:hyperlink>
    </w:p>
    <w:p w14:paraId="0000004B"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Milei, Javier (3 de marzo de 2022).</w:t>
      </w:r>
      <w:r>
        <w:rPr>
          <w:rFonts w:ascii="Times New Roman" w:eastAsia="Times New Roman" w:hAnsi="Times New Roman" w:cs="Times New Roman"/>
          <w:i/>
          <w:sz w:val="24"/>
          <w:szCs w:val="24"/>
        </w:rPr>
        <w:t xml:space="preserve"> "Que estalle la economía y se lleve puesta a la casta": Javier Milei en TN</w:t>
      </w:r>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https://www.youtube.com/watch?v=IYf_MkgF9Qc</w:t>
        </w:r>
      </w:hyperlink>
      <w:r>
        <w:rPr>
          <w:rFonts w:ascii="Times New Roman" w:eastAsia="Times New Roman" w:hAnsi="Times New Roman" w:cs="Times New Roman"/>
          <w:sz w:val="24"/>
          <w:szCs w:val="24"/>
        </w:rPr>
        <w:t xml:space="preserve"> </w:t>
      </w:r>
    </w:p>
    <w:p w14:paraId="0000004C"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Milei, Javier (7 de agosto de 2023). </w:t>
      </w:r>
      <w:r>
        <w:rPr>
          <w:rFonts w:ascii="Times New Roman" w:eastAsia="Times New Roman" w:hAnsi="Times New Roman" w:cs="Times New Roman"/>
          <w:i/>
          <w:sz w:val="24"/>
          <w:szCs w:val="24"/>
        </w:rPr>
        <w:t>Spot Final de Javier Milei- 07/08/23</w:t>
      </w:r>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https://www.youtube.com/watch?v=hbqb4wX_Zew</w:t>
        </w:r>
      </w:hyperlink>
      <w:r>
        <w:rPr>
          <w:rFonts w:ascii="Times New Roman" w:eastAsia="Times New Roman" w:hAnsi="Times New Roman" w:cs="Times New Roman"/>
          <w:sz w:val="24"/>
          <w:szCs w:val="24"/>
        </w:rPr>
        <w:t xml:space="preserve"> </w:t>
      </w:r>
    </w:p>
    <w:p w14:paraId="0000004D"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Milei, Javier (16 de octubre de 2023). </w:t>
      </w:r>
      <w:r>
        <w:rPr>
          <w:rFonts w:ascii="Times New Roman" w:eastAsia="Times New Roman" w:hAnsi="Times New Roman" w:cs="Times New Roman"/>
          <w:i/>
          <w:sz w:val="24"/>
          <w:szCs w:val="24"/>
        </w:rPr>
        <w:t>Milei compara el estado con el pedófilo en el jardín de infantes</w:t>
      </w:r>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https://www.youtube.com/watch?v=zAFa_2X6H6I</w:t>
        </w:r>
      </w:hyperlink>
      <w:r>
        <w:rPr>
          <w:rFonts w:ascii="Times New Roman" w:eastAsia="Times New Roman" w:hAnsi="Times New Roman" w:cs="Times New Roman"/>
          <w:sz w:val="24"/>
          <w:szCs w:val="24"/>
        </w:rPr>
        <w:t xml:space="preserve"> </w:t>
      </w:r>
    </w:p>
    <w:p w14:paraId="0000004E"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Milei, Javier (12 de noviembre de 2023). </w:t>
      </w:r>
      <w:r>
        <w:rPr>
          <w:rFonts w:ascii="Times New Roman" w:eastAsia="Times New Roman" w:hAnsi="Times New Roman" w:cs="Times New Roman"/>
          <w:i/>
          <w:sz w:val="24"/>
          <w:szCs w:val="24"/>
        </w:rPr>
        <w:t>Tercer Debate Presidencial: Ballotage Sergio Massa - Javier Milei | Emisión completa (12/11/2023)</w:t>
      </w:r>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u w:val="single"/>
          </w:rPr>
          <w:t>https://www.youtube.com/watch?v=rbzcK19r_EE</w:t>
        </w:r>
      </w:hyperlink>
      <w:r>
        <w:rPr>
          <w:rFonts w:ascii="Times New Roman" w:eastAsia="Times New Roman" w:hAnsi="Times New Roman" w:cs="Times New Roman"/>
          <w:sz w:val="24"/>
          <w:szCs w:val="24"/>
        </w:rPr>
        <w:t xml:space="preserve"> </w:t>
      </w:r>
    </w:p>
    <w:p w14:paraId="0000004F"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Morresi, Sergio y Vicente, Martín (2023). Rayos en cielo encapotado: la nueva derecha</w:t>
      </w:r>
    </w:p>
    <w:p w14:paraId="00000050"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una constante irregular en la Argentina. En </w:t>
      </w:r>
      <w:proofErr w:type="spellStart"/>
      <w:r>
        <w:rPr>
          <w:rFonts w:ascii="Times New Roman" w:eastAsia="Times New Roman" w:hAnsi="Times New Roman" w:cs="Times New Roman"/>
          <w:sz w:val="24"/>
          <w:szCs w:val="24"/>
        </w:rPr>
        <w:t>Semán</w:t>
      </w:r>
      <w:proofErr w:type="spellEnd"/>
      <w:r>
        <w:rPr>
          <w:rFonts w:ascii="Times New Roman" w:eastAsia="Times New Roman" w:hAnsi="Times New Roman" w:cs="Times New Roman"/>
          <w:sz w:val="24"/>
          <w:szCs w:val="24"/>
        </w:rPr>
        <w:t>, Pablo (</w:t>
      </w:r>
      <w:proofErr w:type="spellStart"/>
      <w:r>
        <w:rPr>
          <w:rFonts w:ascii="Times New Roman" w:eastAsia="Times New Roman" w:hAnsi="Times New Roman" w:cs="Times New Roman"/>
          <w:sz w:val="24"/>
          <w:szCs w:val="24"/>
        </w:rPr>
        <w:t>comp.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Está entre nosotros </w:t>
      </w:r>
      <w:r>
        <w:rPr>
          <w:rFonts w:ascii="Times New Roman" w:eastAsia="Times New Roman" w:hAnsi="Times New Roman" w:cs="Times New Roman"/>
          <w:sz w:val="24"/>
          <w:szCs w:val="24"/>
        </w:rPr>
        <w:t>(pp. 43-80). Siglo Veintiuno.</w:t>
      </w:r>
    </w:p>
    <w:p w14:paraId="00000051"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Nietzsche, Friedrich (2016 [1887]). </w:t>
      </w:r>
      <w:r>
        <w:rPr>
          <w:rFonts w:ascii="Times New Roman" w:eastAsia="Times New Roman" w:hAnsi="Times New Roman" w:cs="Times New Roman"/>
          <w:i/>
          <w:sz w:val="24"/>
          <w:szCs w:val="24"/>
        </w:rPr>
        <w:t>La genealogía de la moral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 escrito polémico</w:t>
      </w:r>
      <w:r>
        <w:rPr>
          <w:rFonts w:ascii="Times New Roman" w:eastAsia="Times New Roman" w:hAnsi="Times New Roman" w:cs="Times New Roman"/>
          <w:sz w:val="24"/>
          <w:szCs w:val="24"/>
        </w:rPr>
        <w:t xml:space="preserve">. Alianza. </w:t>
      </w:r>
    </w:p>
    <w:p w14:paraId="00000052"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Nunes, Rodrigo (2024). </w:t>
      </w:r>
      <w:proofErr w:type="spellStart"/>
      <w:r>
        <w:rPr>
          <w:rFonts w:ascii="Times New Roman" w:eastAsia="Times New Roman" w:hAnsi="Times New Roman" w:cs="Times New Roman"/>
          <w:i/>
          <w:sz w:val="24"/>
          <w:szCs w:val="24"/>
        </w:rPr>
        <w:t>Bolsonarismo</w:t>
      </w:r>
      <w:proofErr w:type="spellEnd"/>
      <w:r>
        <w:rPr>
          <w:rFonts w:ascii="Times New Roman" w:eastAsia="Times New Roman" w:hAnsi="Times New Roman" w:cs="Times New Roman"/>
          <w:i/>
          <w:sz w:val="24"/>
          <w:szCs w:val="24"/>
        </w:rPr>
        <w:t xml:space="preserve"> y extrema derecha global</w:t>
      </w:r>
      <w:r>
        <w:rPr>
          <w:rFonts w:ascii="Times New Roman" w:eastAsia="Times New Roman" w:hAnsi="Times New Roman" w:cs="Times New Roman"/>
          <w:sz w:val="24"/>
          <w:szCs w:val="24"/>
        </w:rPr>
        <w:t>. Tinta Limón.</w:t>
      </w:r>
    </w:p>
    <w:p w14:paraId="00000053" w14:textId="77777777" w:rsidR="00237FA9" w:rsidRPr="005B21BA" w:rsidRDefault="00000000">
      <w:pPr>
        <w:ind w:left="720" w:hanging="720"/>
        <w:jc w:val="both"/>
        <w:rPr>
          <w:rFonts w:ascii="Times New Roman" w:eastAsia="Times New Roman" w:hAnsi="Times New Roman" w:cs="Times New Roman"/>
          <w:sz w:val="24"/>
          <w:szCs w:val="24"/>
          <w:lang w:val="en-US"/>
        </w:rPr>
      </w:pPr>
      <w:r w:rsidRPr="005B21BA">
        <w:rPr>
          <w:rFonts w:ascii="Times New Roman" w:eastAsia="Times New Roman" w:hAnsi="Times New Roman" w:cs="Times New Roman"/>
          <w:sz w:val="24"/>
          <w:szCs w:val="24"/>
          <w:lang w:val="en-US"/>
        </w:rPr>
        <w:t xml:space="preserve">Piketty, Thomas (2014). </w:t>
      </w:r>
      <w:r w:rsidRPr="005B21BA">
        <w:rPr>
          <w:rFonts w:ascii="Times New Roman" w:eastAsia="Times New Roman" w:hAnsi="Times New Roman" w:cs="Times New Roman"/>
          <w:i/>
          <w:sz w:val="24"/>
          <w:szCs w:val="24"/>
          <w:lang w:val="en-US"/>
        </w:rPr>
        <w:t>Capital in the Twenty-First Century</w:t>
      </w:r>
      <w:r w:rsidRPr="005B21BA">
        <w:rPr>
          <w:rFonts w:ascii="Times New Roman" w:eastAsia="Times New Roman" w:hAnsi="Times New Roman" w:cs="Times New Roman"/>
          <w:sz w:val="24"/>
          <w:szCs w:val="24"/>
          <w:lang w:val="en-US"/>
        </w:rPr>
        <w:t>. Harvard University Press.</w:t>
      </w:r>
    </w:p>
    <w:p w14:paraId="00000054" w14:textId="77777777" w:rsidR="00237FA9" w:rsidRPr="005B21BA" w:rsidRDefault="00000000">
      <w:pPr>
        <w:ind w:left="720" w:hanging="720"/>
        <w:jc w:val="both"/>
        <w:rPr>
          <w:rFonts w:ascii="Times New Roman" w:eastAsia="Times New Roman" w:hAnsi="Times New Roman" w:cs="Times New Roman"/>
          <w:sz w:val="24"/>
          <w:szCs w:val="24"/>
          <w:shd w:val="clear" w:color="auto" w:fill="F6B26B"/>
          <w:lang w:val="en-US"/>
        </w:rPr>
      </w:pPr>
      <w:r w:rsidRPr="005B21BA">
        <w:rPr>
          <w:rFonts w:ascii="Times New Roman" w:eastAsia="Times New Roman" w:hAnsi="Times New Roman" w:cs="Times New Roman"/>
          <w:sz w:val="24"/>
          <w:szCs w:val="24"/>
          <w:lang w:val="en-US"/>
        </w:rPr>
        <w:t xml:space="preserve">Scheler, Max (1994 [1912]). </w:t>
      </w:r>
      <w:r w:rsidRPr="005B21BA">
        <w:rPr>
          <w:rFonts w:ascii="Times New Roman" w:eastAsia="Times New Roman" w:hAnsi="Times New Roman" w:cs="Times New Roman"/>
          <w:i/>
          <w:sz w:val="24"/>
          <w:szCs w:val="24"/>
          <w:lang w:val="en-US"/>
        </w:rPr>
        <w:t>Ressentiment</w:t>
      </w:r>
      <w:r w:rsidRPr="005B21BA">
        <w:rPr>
          <w:rFonts w:ascii="Times New Roman" w:eastAsia="Times New Roman" w:hAnsi="Times New Roman" w:cs="Times New Roman"/>
          <w:sz w:val="24"/>
          <w:szCs w:val="24"/>
          <w:lang w:val="en-US"/>
        </w:rPr>
        <w:t>. Marquette University Press.</w:t>
      </w:r>
      <w:r w:rsidRPr="005B21BA">
        <w:rPr>
          <w:rFonts w:ascii="Times New Roman" w:eastAsia="Times New Roman" w:hAnsi="Times New Roman" w:cs="Times New Roman"/>
          <w:sz w:val="24"/>
          <w:szCs w:val="24"/>
          <w:shd w:val="clear" w:color="auto" w:fill="F6B26B"/>
          <w:lang w:val="en-US"/>
        </w:rPr>
        <w:t xml:space="preserve"> </w:t>
      </w:r>
    </w:p>
    <w:p w14:paraId="00000055" w14:textId="77777777" w:rsidR="00237FA9" w:rsidRDefault="00000000">
      <w:pPr>
        <w:ind w:left="720" w:hanging="720"/>
        <w:jc w:val="both"/>
        <w:rPr>
          <w:rFonts w:ascii="Times New Roman" w:eastAsia="Times New Roman" w:hAnsi="Times New Roman" w:cs="Times New Roman"/>
          <w:sz w:val="24"/>
          <w:szCs w:val="24"/>
        </w:rPr>
      </w:pPr>
      <w:proofErr w:type="spellStart"/>
      <w:r w:rsidRPr="005B21BA">
        <w:rPr>
          <w:rFonts w:ascii="Times New Roman" w:eastAsia="Times New Roman" w:hAnsi="Times New Roman" w:cs="Times New Roman"/>
          <w:sz w:val="24"/>
          <w:szCs w:val="24"/>
          <w:lang w:val="en-US"/>
        </w:rPr>
        <w:t>Semán</w:t>
      </w:r>
      <w:proofErr w:type="spellEnd"/>
      <w:r w:rsidRPr="005B21BA">
        <w:rPr>
          <w:rFonts w:ascii="Times New Roman" w:eastAsia="Times New Roman" w:hAnsi="Times New Roman" w:cs="Times New Roman"/>
          <w:sz w:val="24"/>
          <w:szCs w:val="24"/>
          <w:lang w:val="en-US"/>
        </w:rPr>
        <w:t xml:space="preserve">, Pablo (2023). </w:t>
      </w:r>
      <w:r>
        <w:rPr>
          <w:rFonts w:ascii="Times New Roman" w:eastAsia="Times New Roman" w:hAnsi="Times New Roman" w:cs="Times New Roman"/>
          <w:sz w:val="24"/>
          <w:szCs w:val="24"/>
        </w:rPr>
        <w:t xml:space="preserve">Introducción. En </w:t>
      </w:r>
      <w:proofErr w:type="spellStart"/>
      <w:r>
        <w:rPr>
          <w:rFonts w:ascii="Times New Roman" w:eastAsia="Times New Roman" w:hAnsi="Times New Roman" w:cs="Times New Roman"/>
          <w:sz w:val="24"/>
          <w:szCs w:val="24"/>
        </w:rPr>
        <w:t>Semán</w:t>
      </w:r>
      <w:proofErr w:type="spellEnd"/>
      <w:r>
        <w:rPr>
          <w:rFonts w:ascii="Times New Roman" w:eastAsia="Times New Roman" w:hAnsi="Times New Roman" w:cs="Times New Roman"/>
          <w:sz w:val="24"/>
          <w:szCs w:val="24"/>
        </w:rPr>
        <w:t>, Pablo (</w:t>
      </w:r>
      <w:proofErr w:type="spellStart"/>
      <w:r>
        <w:rPr>
          <w:rFonts w:ascii="Times New Roman" w:eastAsia="Times New Roman" w:hAnsi="Times New Roman" w:cs="Times New Roman"/>
          <w:sz w:val="24"/>
          <w:szCs w:val="24"/>
        </w:rPr>
        <w:t>comp.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Está entre nosotros </w:t>
      </w:r>
      <w:r>
        <w:rPr>
          <w:rFonts w:ascii="Times New Roman" w:eastAsia="Times New Roman" w:hAnsi="Times New Roman" w:cs="Times New Roman"/>
          <w:sz w:val="24"/>
          <w:szCs w:val="24"/>
        </w:rPr>
        <w:t>(pp. 9-42). Siglo Veintiuno.</w:t>
      </w:r>
    </w:p>
    <w:p w14:paraId="00000056" w14:textId="77777777" w:rsidR="00237FA9" w:rsidRDefault="0000000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Stefanoni</w:t>
      </w:r>
      <w:proofErr w:type="spellEnd"/>
      <w:r>
        <w:rPr>
          <w:rFonts w:ascii="Times New Roman" w:eastAsia="Times New Roman" w:hAnsi="Times New Roman" w:cs="Times New Roman"/>
          <w:sz w:val="24"/>
          <w:szCs w:val="24"/>
        </w:rPr>
        <w:t>, Pablo (2021). ¿</w:t>
      </w:r>
      <w:r>
        <w:rPr>
          <w:rFonts w:ascii="Times New Roman" w:eastAsia="Times New Roman" w:hAnsi="Times New Roman" w:cs="Times New Roman"/>
          <w:i/>
          <w:sz w:val="24"/>
          <w:szCs w:val="24"/>
        </w:rPr>
        <w:t>La rebeldía se volvió de derecha?</w:t>
      </w:r>
      <w:r>
        <w:rPr>
          <w:rFonts w:ascii="Times New Roman" w:eastAsia="Times New Roman" w:hAnsi="Times New Roman" w:cs="Times New Roman"/>
          <w:sz w:val="24"/>
          <w:szCs w:val="24"/>
        </w:rPr>
        <w:t>. Siglo Veintiuno.</w:t>
      </w:r>
    </w:p>
    <w:p w14:paraId="00000057" w14:textId="77777777" w:rsidR="00237FA9" w:rsidRDefault="0000000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Toscano, Alberto (2021).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Psychoanalysis</w:t>
      </w:r>
      <w:proofErr w:type="spellEnd"/>
      <w:r>
        <w:rPr>
          <w:rFonts w:ascii="Times New Roman" w:eastAsia="Times New Roman" w:hAnsi="Times New Roman" w:cs="Times New Roman"/>
          <w:sz w:val="24"/>
          <w:szCs w:val="24"/>
        </w:rPr>
        <w:t xml:space="preserve"> in Reverse. En </w:t>
      </w:r>
      <w:proofErr w:type="spellStart"/>
      <w:r>
        <w:rPr>
          <w:rFonts w:ascii="Times New Roman" w:eastAsia="Times New Roman" w:hAnsi="Times New Roman" w:cs="Times New Roman"/>
          <w:sz w:val="24"/>
          <w:szCs w:val="24"/>
        </w:rPr>
        <w:t>Löwenthal</w:t>
      </w:r>
      <w:proofErr w:type="spellEnd"/>
      <w:r>
        <w:rPr>
          <w:rFonts w:ascii="Times New Roman" w:eastAsia="Times New Roman" w:hAnsi="Times New Roman" w:cs="Times New Roman"/>
          <w:sz w:val="24"/>
          <w:szCs w:val="24"/>
        </w:rPr>
        <w:t xml:space="preserve">, Leo y </w:t>
      </w:r>
      <w:proofErr w:type="spellStart"/>
      <w:r>
        <w:rPr>
          <w:rFonts w:ascii="Times New Roman" w:eastAsia="Times New Roman" w:hAnsi="Times New Roman" w:cs="Times New Roman"/>
          <w:sz w:val="24"/>
          <w:szCs w:val="24"/>
        </w:rPr>
        <w:t>Guterman</w:t>
      </w:r>
      <w:proofErr w:type="spellEnd"/>
      <w:r>
        <w:rPr>
          <w:rFonts w:ascii="Times New Roman" w:eastAsia="Times New Roman" w:hAnsi="Times New Roman" w:cs="Times New Roman"/>
          <w:sz w:val="24"/>
          <w:szCs w:val="24"/>
        </w:rPr>
        <w:t xml:space="preserve">, Norbert. </w:t>
      </w:r>
      <w:proofErr w:type="spellStart"/>
      <w:r>
        <w:rPr>
          <w:rFonts w:ascii="Times New Roman" w:eastAsia="Times New Roman" w:hAnsi="Times New Roman" w:cs="Times New Roman"/>
          <w:i/>
          <w:sz w:val="24"/>
          <w:szCs w:val="24"/>
        </w:rPr>
        <w:t>Prophets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Deceit</w:t>
      </w:r>
      <w:proofErr w:type="spellEnd"/>
      <w:r>
        <w:rPr>
          <w:rFonts w:ascii="Times New Roman" w:eastAsia="Times New Roman" w:hAnsi="Times New Roman" w:cs="Times New Roman"/>
          <w:sz w:val="24"/>
          <w:szCs w:val="24"/>
        </w:rPr>
        <w:t xml:space="preserve"> (pp. 11-27). Verso.</w:t>
      </w:r>
    </w:p>
    <w:p w14:paraId="00000058" w14:textId="77777777" w:rsidR="00237FA9" w:rsidRDefault="00000000">
      <w:pPr>
        <w:ind w:left="720" w:hanging="720"/>
        <w:jc w:val="both"/>
        <w:rPr>
          <w:rFonts w:ascii="Times New Roman" w:eastAsia="Times New Roman" w:hAnsi="Times New Roman" w:cs="Times New Roman"/>
          <w:sz w:val="24"/>
          <w:szCs w:val="24"/>
        </w:rPr>
        <w:sectPr w:rsidR="00237FA9">
          <w:pgSz w:w="11906" w:h="16838"/>
          <w:pgMar w:top="1700" w:right="1700" w:bottom="1700" w:left="1700" w:header="720" w:footer="720" w:gutter="0"/>
          <w:pgNumType w:start="1"/>
          <w:cols w:space="720"/>
        </w:sectPr>
      </w:pPr>
      <w:proofErr w:type="spellStart"/>
      <w:r>
        <w:rPr>
          <w:rFonts w:ascii="Times New Roman" w:eastAsia="Times New Roman" w:hAnsi="Times New Roman" w:cs="Times New Roman"/>
          <w:sz w:val="24"/>
          <w:szCs w:val="24"/>
        </w:rPr>
        <w:t>Vogl</w:t>
      </w:r>
      <w:proofErr w:type="spellEnd"/>
      <w:r>
        <w:rPr>
          <w:rFonts w:ascii="Times New Roman" w:eastAsia="Times New Roman" w:hAnsi="Times New Roman" w:cs="Times New Roman"/>
          <w:sz w:val="24"/>
          <w:szCs w:val="24"/>
        </w:rPr>
        <w:t xml:space="preserve">, Joseph (2024). </w:t>
      </w:r>
      <w:r>
        <w:rPr>
          <w:rFonts w:ascii="Times New Roman" w:eastAsia="Times New Roman" w:hAnsi="Times New Roman" w:cs="Times New Roman"/>
          <w:i/>
          <w:sz w:val="24"/>
          <w:szCs w:val="24"/>
        </w:rPr>
        <w:t>Capital y resentimiento</w:t>
      </w:r>
      <w:r>
        <w:rPr>
          <w:rFonts w:ascii="Times New Roman" w:eastAsia="Times New Roman" w:hAnsi="Times New Roman" w:cs="Times New Roman"/>
          <w:sz w:val="24"/>
          <w:szCs w:val="24"/>
        </w:rPr>
        <w:t>. Adriana Hidalgo.</w:t>
      </w:r>
    </w:p>
    <w:p w14:paraId="00000059" w14:textId="77777777" w:rsidR="00237FA9" w:rsidRDefault="00237FA9"/>
    <w:sectPr w:rsidR="00237FA9">
      <w:pgSz w:w="11906" w:h="16838"/>
      <w:pgMar w:top="1700" w:right="1700" w:bottom="170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C36E9" w14:textId="77777777" w:rsidR="007C0108" w:rsidRDefault="007C0108">
      <w:pPr>
        <w:spacing w:line="240" w:lineRule="auto"/>
      </w:pPr>
      <w:r>
        <w:separator/>
      </w:r>
    </w:p>
  </w:endnote>
  <w:endnote w:type="continuationSeparator" w:id="0">
    <w:p w14:paraId="7403C47C" w14:textId="77777777" w:rsidR="007C0108" w:rsidRDefault="007C0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D740" w14:textId="77777777" w:rsidR="007C0108" w:rsidRDefault="007C0108">
      <w:pPr>
        <w:spacing w:line="240" w:lineRule="auto"/>
      </w:pPr>
      <w:r>
        <w:separator/>
      </w:r>
    </w:p>
  </w:footnote>
  <w:footnote w:type="continuationSeparator" w:id="0">
    <w:p w14:paraId="4B5AC2D3" w14:textId="77777777" w:rsidR="007C0108" w:rsidRDefault="007C0108">
      <w:pPr>
        <w:spacing w:line="240" w:lineRule="auto"/>
      </w:pPr>
      <w:r>
        <w:continuationSeparator/>
      </w:r>
    </w:p>
  </w:footnote>
  <w:footnote w:id="1">
    <w:p w14:paraId="0000005A" w14:textId="77777777" w:rsidR="00237FA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Respecto de la contradicción entre la proclama formal de igualdad y libertad con las condiciones materiales de existencia, en </w:t>
      </w:r>
      <w:r>
        <w:rPr>
          <w:rFonts w:ascii="Times New Roman" w:eastAsia="Times New Roman" w:hAnsi="Times New Roman" w:cs="Times New Roman"/>
          <w:i/>
          <w:sz w:val="20"/>
          <w:szCs w:val="20"/>
        </w:rPr>
        <w:t>Sobre la cuestión judía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Marx ya había analizado las penurias del sujeto moderno que permanece desgarrado en una vida terrenal y una vida celestial: “La anulación política de la propiedad privada no solo no destruye la propiedad privada, sino que, lejos de ello, la presupone [...] Allí donde el Estado político ha alcanzado su verdadero desarrollo, lleva al hombre no solo en el pensamiento, en la conciencia, sino en la realidad, en la vida, una doble vida, una celestial y otra terrenal, la vida en la comunidad política, en la que se considera como ser colectivo, y la vida en la sociedad civil, en la que actúa como particular; considera a los otros hombres como medios, se degrada a sí mismo como medio y se convierte en juguete de poderes extraños” (Marx, 2015, pp. 66-67). Scheler (1994) despliega una crítica similar y enfatiza la asociación entre liberalismo y capitalismo, en tanto extiende un tipo de socialización que considera a los humanos como límites unos de otros, lo cual conduce a una comparación insaciable en el marco de las condiciones materiales de desigualdad.</w:t>
      </w:r>
    </w:p>
  </w:footnote>
  <w:footnote w:id="2">
    <w:p w14:paraId="0000005B" w14:textId="77777777" w:rsidR="00237FA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Sobre esta temática resulta interesante el libro recientemente publicado por Johnston (2024). Allí, a partir de un cruce entre marxismo y psicoanálisis, el autor analiza la “codicia infinita” como la pulsión de muerte propia de la vida capitalista. Este tipo de pulsión se satisface mediante el sacrificio de los sujetos y, al hacerlo, perpetúa la acumulación de capital.</w:t>
      </w:r>
    </w:p>
  </w:footnote>
  <w:footnote w:id="3">
    <w:p w14:paraId="0000005C" w14:textId="77777777" w:rsidR="00237FA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Ya en 1937, Fromm (2019) analizaba el sentimiento de impotencia como una de las condiciones subjetivas que habilitó la consolidación del nacionalsocialismo alemán.</w:t>
      </w:r>
    </w:p>
  </w:footnote>
  <w:footnote w:id="4">
    <w:p w14:paraId="0000005D" w14:textId="77777777" w:rsidR="00237FA9"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La  proliferación de un marketing de libros y podcasts relativos al estoicismo y la autodisciplina sugiere cierta tendencia a la represión de los impulsos internos.</w:t>
      </w:r>
    </w:p>
  </w:footnote>
  <w:footnote w:id="5">
    <w:p w14:paraId="0000005E" w14:textId="77777777" w:rsidR="00237FA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“En suma, Kant es de la opinión de Sade. Pues para alcanzar absolutamente </w:t>
      </w:r>
      <w:r>
        <w:rPr>
          <w:rFonts w:ascii="Times New Roman" w:eastAsia="Times New Roman" w:hAnsi="Times New Roman" w:cs="Times New Roman"/>
          <w:i/>
          <w:sz w:val="20"/>
          <w:szCs w:val="20"/>
        </w:rPr>
        <w:t>das Ding</w:t>
      </w:r>
      <w:r>
        <w:rPr>
          <w:rFonts w:ascii="Times New Roman" w:eastAsia="Times New Roman" w:hAnsi="Times New Roman" w:cs="Times New Roman"/>
          <w:sz w:val="20"/>
          <w:szCs w:val="20"/>
        </w:rPr>
        <w:t>, para abrir todas las compuertas del deseo, ¿qué nos muestra Sade en el horizonte? Esencialmente, el dolor. El dolor del prójimo y también el propio dolor del sujeto, pues en este caso no son más que una y la misma cosa” (Lacan, pp. 99-100).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A9"/>
    <w:rsid w:val="000E03EF"/>
    <w:rsid w:val="00237FA9"/>
    <w:rsid w:val="005B21BA"/>
    <w:rsid w:val="007C01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8ED3"/>
  <w15:docId w15:val="{770C1417-3EF0-4907-BB25-1F391B8C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IYf_MkgF9Q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BuqWa3xCmj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22BkS2tDls" TargetMode="External"/><Relationship Id="rId11" Type="http://schemas.openxmlformats.org/officeDocument/2006/relationships/hyperlink" Target="https://www.youtube.com/watch?v=rbzcK19r_EE" TargetMode="External"/><Relationship Id="rId5" Type="http://schemas.openxmlformats.org/officeDocument/2006/relationships/endnotes" Target="endnotes.xml"/><Relationship Id="rId10" Type="http://schemas.openxmlformats.org/officeDocument/2006/relationships/hyperlink" Target="https://www.youtube.com/watch?v=zAFa_2X6H6I" TargetMode="External"/><Relationship Id="rId4" Type="http://schemas.openxmlformats.org/officeDocument/2006/relationships/footnotes" Target="footnotes.xml"/><Relationship Id="rId9" Type="http://schemas.openxmlformats.org/officeDocument/2006/relationships/hyperlink" Target="https://www.youtube.com/watch?v=hbqb4wX_Z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6243</Words>
  <Characters>34341</Characters>
  <Application>Microsoft Office Word</Application>
  <DocSecurity>0</DocSecurity>
  <Lines>286</Lines>
  <Paragraphs>81</Paragraphs>
  <ScaleCrop>false</ScaleCrop>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 Nicola</cp:lastModifiedBy>
  <cp:revision>2</cp:revision>
  <dcterms:created xsi:type="dcterms:W3CDTF">2024-07-02T19:30:00Z</dcterms:created>
  <dcterms:modified xsi:type="dcterms:W3CDTF">2024-07-02T19:32:00Z</dcterms:modified>
</cp:coreProperties>
</file>